
<file path=[Content_Types].xml><?xml version="1.0" encoding="utf-8"?>
<Types xmlns="http://schemas.openxmlformats.org/package/2006/content-types">
  <Default Extension="rels" ContentType="application/vnd.openxmlformats-package.relationships+xml"/>
  <Default Extension="ti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1BDEF5" w14:textId="66B854EC" w:rsidR="00C14E38" w:rsidRPr="00F970CD" w:rsidRDefault="002470D2" w:rsidP="00C14E38">
      <w:pPr>
        <w:spacing w:after="0" w:line="480" w:lineRule="auto"/>
        <w:jc w:val="center"/>
        <w:rPr>
          <w:rFonts w:ascii="Arial" w:eastAsia="Times New Roman" w:hAnsi="Arial" w:cs="Arial"/>
          <w:b/>
          <w:kern w:val="0"/>
          <w:sz w:val="32"/>
          <w:szCs w:val="32"/>
          <w14:ligatures w14:val="none"/>
        </w:rPr>
      </w:pPr>
      <w:r>
        <w:rPr>
          <w:rFonts w:ascii="Arial" w:eastAsia="Times New Roman" w:hAnsi="Arial" w:cs="Arial"/>
          <w:b/>
          <w:kern w:val="0"/>
          <w:sz w:val="32"/>
          <w:szCs w:val="32"/>
          <w14:ligatures w14:val="none"/>
        </w:rPr>
        <w:t>W</w:t>
      </w:r>
      <w:r w:rsidR="00C14E38" w:rsidRPr="00F970CD">
        <w:rPr>
          <w:rFonts w:ascii="Arial" w:eastAsia="Times New Roman" w:hAnsi="Arial" w:cs="Arial"/>
          <w:b/>
          <w:kern w:val="0"/>
          <w:sz w:val="32"/>
          <w:szCs w:val="32"/>
          <w14:ligatures w14:val="none"/>
        </w:rPr>
        <w:t>hole-body MRI for cancer surveillance in children and young people with Ataxia Telangiectasia</w:t>
      </w:r>
      <w:r w:rsidR="00C70CB8">
        <w:rPr>
          <w:rFonts w:ascii="Arial" w:eastAsia="Times New Roman" w:hAnsi="Arial" w:cs="Arial"/>
          <w:b/>
          <w:kern w:val="0"/>
          <w:sz w:val="32"/>
          <w:szCs w:val="32"/>
          <w14:ligatures w14:val="none"/>
        </w:rPr>
        <w:t>: Protocol for</w:t>
      </w:r>
      <w:r w:rsidR="00C70CB8" w:rsidRPr="00C70CB8">
        <w:rPr>
          <w:rFonts w:ascii="Arial" w:eastAsia="Times New Roman" w:hAnsi="Arial" w:cs="Arial"/>
          <w:b/>
          <w:kern w:val="0"/>
          <w:sz w:val="32"/>
          <w:szCs w:val="32"/>
          <w14:ligatures w14:val="none"/>
        </w:rPr>
        <w:t xml:space="preserve"> mixed methods cross-sectional interventional </w:t>
      </w:r>
      <w:r w:rsidR="00C70CB8">
        <w:rPr>
          <w:rFonts w:ascii="Arial" w:eastAsia="Times New Roman" w:hAnsi="Arial" w:cs="Arial"/>
          <w:b/>
          <w:kern w:val="0"/>
          <w:sz w:val="32"/>
          <w:szCs w:val="32"/>
          <w14:ligatures w14:val="none"/>
        </w:rPr>
        <w:t xml:space="preserve">feasibility </w:t>
      </w:r>
      <w:r w:rsidR="00C70CB8" w:rsidRPr="00C70CB8">
        <w:rPr>
          <w:rFonts w:ascii="Arial" w:eastAsia="Times New Roman" w:hAnsi="Arial" w:cs="Arial"/>
          <w:b/>
          <w:kern w:val="0"/>
          <w:sz w:val="32"/>
          <w:szCs w:val="32"/>
          <w14:ligatures w14:val="none"/>
        </w:rPr>
        <w:t xml:space="preserve">study </w:t>
      </w:r>
    </w:p>
    <w:p w14:paraId="15452756" w14:textId="77777777" w:rsidR="00C14E38" w:rsidRPr="00F970CD" w:rsidRDefault="00C14E38" w:rsidP="00C14E38">
      <w:pPr>
        <w:spacing w:after="0" w:line="480" w:lineRule="auto"/>
        <w:rPr>
          <w:rFonts w:ascii="Times New Roman" w:eastAsia="Times New Roman" w:hAnsi="Times New Roman" w:cs="Arial Unicode MS"/>
          <w:kern w:val="0"/>
          <w:sz w:val="24"/>
          <w:szCs w:val="24"/>
          <w14:ligatures w14:val="none"/>
        </w:rPr>
      </w:pPr>
    </w:p>
    <w:p w14:paraId="1902C8EA" w14:textId="760590B2" w:rsidR="00C14E38" w:rsidRPr="00F970CD" w:rsidRDefault="00C14E38" w:rsidP="00C14E38">
      <w:pPr>
        <w:spacing w:after="0" w:line="480" w:lineRule="auto"/>
        <w:rPr>
          <w:rFonts w:ascii="Arial" w:hAnsi="Arial" w:cs="Arial"/>
          <w:kern w:val="0"/>
          <w:sz w:val="24"/>
          <w:szCs w:val="24"/>
          <w14:ligatures w14:val="none"/>
        </w:rPr>
      </w:pPr>
      <w:r w:rsidRPr="00F970CD">
        <w:rPr>
          <w:rFonts w:ascii="Arial" w:hAnsi="Arial" w:cs="Arial"/>
          <w:kern w:val="0"/>
          <w:sz w:val="24"/>
          <w:szCs w:val="24"/>
          <w14:ligatures w14:val="none"/>
        </w:rPr>
        <w:t>Authors</w:t>
      </w:r>
      <w:r w:rsidR="000A5544">
        <w:rPr>
          <w:rFonts w:ascii="Arial" w:hAnsi="Arial" w:cs="Arial"/>
          <w:kern w:val="0"/>
          <w:sz w:val="24"/>
          <w:szCs w:val="24"/>
          <w14:ligatures w14:val="none"/>
        </w:rPr>
        <w:t xml:space="preserve">: </w:t>
      </w:r>
    </w:p>
    <w:p w14:paraId="1AE2751A" w14:textId="2D9B86AC" w:rsidR="00C14E38" w:rsidRPr="00F970CD" w:rsidRDefault="00C14E38" w:rsidP="00C14E38">
      <w:pPr>
        <w:spacing w:after="0" w:line="480" w:lineRule="auto"/>
        <w:rPr>
          <w:rFonts w:ascii="Arial" w:hAnsi="Arial" w:cs="Arial"/>
          <w:kern w:val="0"/>
          <w:sz w:val="24"/>
          <w:szCs w:val="24"/>
          <w14:ligatures w14:val="none"/>
        </w:rPr>
      </w:pPr>
      <w:r w:rsidRPr="00F970CD">
        <w:rPr>
          <w:rFonts w:ascii="Arial" w:hAnsi="Arial" w:cs="Arial"/>
          <w:kern w:val="0"/>
          <w:sz w:val="24"/>
          <w:szCs w:val="24"/>
          <w14:ligatures w14:val="none"/>
        </w:rPr>
        <w:t>Renata Neves</w:t>
      </w:r>
      <w:r w:rsidRPr="00F970CD">
        <w:rPr>
          <w:rFonts w:ascii="Arial" w:hAnsi="Arial" w:cs="Arial"/>
          <w:kern w:val="0"/>
          <w:sz w:val="24"/>
          <w:szCs w:val="24"/>
          <w:vertAlign w:val="superscript"/>
          <w14:ligatures w14:val="none"/>
        </w:rPr>
        <w:t>1 2</w:t>
      </w:r>
      <w:r w:rsidRPr="00F970CD">
        <w:rPr>
          <w:rFonts w:ascii="Arial" w:hAnsi="Arial" w:cs="Arial"/>
          <w:kern w:val="0"/>
          <w:sz w:val="24"/>
          <w:szCs w:val="24"/>
          <w14:ligatures w14:val="none"/>
        </w:rPr>
        <w:t>, Rafal Panek</w:t>
      </w:r>
      <w:r w:rsidRPr="00F970CD">
        <w:rPr>
          <w:rFonts w:ascii="Arial" w:hAnsi="Arial" w:cs="Arial"/>
          <w:kern w:val="0"/>
          <w:sz w:val="24"/>
          <w:szCs w:val="24"/>
          <w:vertAlign w:val="superscript"/>
          <w14:ligatures w14:val="none"/>
        </w:rPr>
        <w:t>3</w:t>
      </w:r>
      <w:r w:rsidR="00A973A4">
        <w:rPr>
          <w:rFonts w:ascii="Arial" w:hAnsi="Arial" w:cs="Arial"/>
          <w:kern w:val="0"/>
          <w:sz w:val="24"/>
          <w:szCs w:val="24"/>
          <w:vertAlign w:val="superscript"/>
          <w14:ligatures w14:val="none"/>
        </w:rPr>
        <w:t>,</w:t>
      </w:r>
      <w:r w:rsidR="004F6CAC">
        <w:rPr>
          <w:rFonts w:ascii="Arial" w:hAnsi="Arial" w:cs="Arial"/>
          <w:kern w:val="0"/>
          <w:sz w:val="24"/>
          <w:szCs w:val="24"/>
          <w:vertAlign w:val="superscript"/>
          <w14:ligatures w14:val="none"/>
        </w:rPr>
        <w:t>4</w:t>
      </w:r>
      <w:r w:rsidRPr="00F970CD">
        <w:rPr>
          <w:rFonts w:ascii="Arial" w:hAnsi="Arial" w:cs="Arial"/>
          <w:kern w:val="0"/>
          <w:sz w:val="24"/>
          <w:szCs w:val="24"/>
          <w14:ligatures w14:val="none"/>
        </w:rPr>
        <w:t xml:space="preserve">, </w:t>
      </w:r>
      <w:r w:rsidR="00C03471">
        <w:rPr>
          <w:rFonts w:ascii="Arial" w:hAnsi="Arial" w:cs="Arial"/>
          <w:kern w:val="0"/>
          <w:sz w:val="24"/>
          <w:szCs w:val="24"/>
          <w14:ligatures w14:val="none"/>
        </w:rPr>
        <w:t>Katie Clarkson</w:t>
      </w:r>
      <w:r w:rsidR="00C03471" w:rsidRPr="00C03471">
        <w:rPr>
          <w:rFonts w:ascii="Arial" w:hAnsi="Arial" w:cs="Arial"/>
          <w:kern w:val="0"/>
          <w:sz w:val="24"/>
          <w:szCs w:val="24"/>
          <w:vertAlign w:val="superscript"/>
          <w14:ligatures w14:val="none"/>
        </w:rPr>
        <w:t>1</w:t>
      </w:r>
      <w:r w:rsidR="00C03471">
        <w:rPr>
          <w:rFonts w:ascii="Arial" w:hAnsi="Arial" w:cs="Arial"/>
          <w:kern w:val="0"/>
          <w:sz w:val="24"/>
          <w:szCs w:val="24"/>
          <w14:ligatures w14:val="none"/>
        </w:rPr>
        <w:t xml:space="preserve">, </w:t>
      </w:r>
      <w:r w:rsidRPr="00F970CD">
        <w:rPr>
          <w:rFonts w:ascii="Arial" w:hAnsi="Arial" w:cs="Arial"/>
          <w:kern w:val="0"/>
          <w:sz w:val="24"/>
          <w:szCs w:val="24"/>
          <w14:ligatures w14:val="none"/>
        </w:rPr>
        <w:t>Sophie Wilne</w:t>
      </w:r>
      <w:r w:rsidR="004F6CAC">
        <w:rPr>
          <w:rFonts w:ascii="Arial" w:hAnsi="Arial" w:cs="Arial"/>
          <w:kern w:val="0"/>
          <w:sz w:val="24"/>
          <w:szCs w:val="24"/>
          <w:vertAlign w:val="superscript"/>
          <w14:ligatures w14:val="none"/>
        </w:rPr>
        <w:t>5</w:t>
      </w:r>
      <w:r w:rsidRPr="00F970CD">
        <w:rPr>
          <w:rFonts w:ascii="Arial" w:hAnsi="Arial" w:cs="Arial"/>
          <w:kern w:val="0"/>
          <w:sz w:val="24"/>
          <w:szCs w:val="24"/>
          <w14:ligatures w14:val="none"/>
        </w:rPr>
        <w:t>, Mohnish Suri</w:t>
      </w:r>
      <w:r w:rsidR="004F6CAC">
        <w:rPr>
          <w:rFonts w:ascii="Arial" w:hAnsi="Arial" w:cs="Arial"/>
          <w:kern w:val="0"/>
          <w:sz w:val="24"/>
          <w:szCs w:val="24"/>
          <w:vertAlign w:val="superscript"/>
          <w14:ligatures w14:val="none"/>
        </w:rPr>
        <w:t>6</w:t>
      </w:r>
      <w:r w:rsidRPr="00F970CD">
        <w:rPr>
          <w:rFonts w:ascii="Arial" w:hAnsi="Arial" w:cs="Arial"/>
          <w:kern w:val="0"/>
          <w:sz w:val="24"/>
          <w:szCs w:val="24"/>
          <w14:ligatures w14:val="none"/>
        </w:rPr>
        <w:t xml:space="preserve">, William </w:t>
      </w:r>
      <w:r w:rsidR="00C03471">
        <w:rPr>
          <w:rFonts w:ascii="Arial" w:hAnsi="Arial" w:cs="Arial"/>
          <w:kern w:val="0"/>
          <w:sz w:val="24"/>
          <w:szCs w:val="24"/>
          <w14:ligatures w14:val="none"/>
        </w:rPr>
        <w:t xml:space="preserve">P. </w:t>
      </w:r>
      <w:r w:rsidRPr="00F970CD">
        <w:rPr>
          <w:rFonts w:ascii="Arial" w:hAnsi="Arial" w:cs="Arial"/>
          <w:kern w:val="0"/>
          <w:sz w:val="24"/>
          <w:szCs w:val="24"/>
          <w14:ligatures w14:val="none"/>
        </w:rPr>
        <w:t>Whitehouse</w:t>
      </w:r>
      <w:r w:rsidR="004F6CAC">
        <w:rPr>
          <w:rFonts w:ascii="Arial" w:hAnsi="Arial" w:cs="Arial"/>
          <w:kern w:val="0"/>
          <w:sz w:val="24"/>
          <w:szCs w:val="24"/>
          <w:vertAlign w:val="superscript"/>
          <w14:ligatures w14:val="none"/>
        </w:rPr>
        <w:t>4</w:t>
      </w:r>
      <w:r w:rsidRPr="00F970CD">
        <w:rPr>
          <w:rFonts w:ascii="Arial" w:hAnsi="Arial" w:cs="Arial"/>
          <w:kern w:val="0"/>
          <w:sz w:val="24"/>
          <w:szCs w:val="24"/>
          <w14:ligatures w14:val="none"/>
        </w:rPr>
        <w:t>, Sumit Jagani</w:t>
      </w:r>
      <w:r w:rsidRPr="00F970CD">
        <w:rPr>
          <w:rFonts w:ascii="Arial" w:hAnsi="Arial" w:cs="Arial"/>
          <w:kern w:val="0"/>
          <w:sz w:val="24"/>
          <w:szCs w:val="24"/>
          <w:vertAlign w:val="superscript"/>
          <w14:ligatures w14:val="none"/>
        </w:rPr>
        <w:t>7</w:t>
      </w:r>
      <w:r w:rsidRPr="00F970CD">
        <w:rPr>
          <w:rFonts w:ascii="Arial" w:hAnsi="Arial" w:cs="Arial"/>
          <w:kern w:val="0"/>
          <w:sz w:val="24"/>
          <w:szCs w:val="24"/>
          <w14:ligatures w14:val="none"/>
        </w:rPr>
        <w:t>, Madhumita Dandapani</w:t>
      </w:r>
      <w:r w:rsidR="004F6CAC" w:rsidRPr="004F6CAC">
        <w:rPr>
          <w:rFonts w:ascii="Arial" w:hAnsi="Arial" w:cs="Arial"/>
          <w:kern w:val="0"/>
          <w:sz w:val="24"/>
          <w:szCs w:val="24"/>
          <w:vertAlign w:val="superscript"/>
          <w14:ligatures w14:val="none"/>
        </w:rPr>
        <w:t>5,</w:t>
      </w:r>
      <w:r w:rsidRPr="004F6CAC">
        <w:rPr>
          <w:rFonts w:ascii="Arial" w:hAnsi="Arial" w:cs="Arial"/>
          <w:kern w:val="0"/>
          <w:sz w:val="24"/>
          <w:szCs w:val="24"/>
          <w:vertAlign w:val="superscript"/>
          <w14:ligatures w14:val="none"/>
        </w:rPr>
        <w:t>8</w:t>
      </w:r>
      <w:r w:rsidRPr="00F970CD">
        <w:rPr>
          <w:rFonts w:ascii="Arial" w:hAnsi="Arial" w:cs="Arial"/>
          <w:kern w:val="0"/>
          <w:sz w:val="24"/>
          <w:szCs w:val="24"/>
          <w14:ligatures w14:val="none"/>
        </w:rPr>
        <w:t>, Cris Glazebrook</w:t>
      </w:r>
      <w:r w:rsidRPr="00F970CD">
        <w:rPr>
          <w:rFonts w:ascii="Arial" w:hAnsi="Arial" w:cs="Arial"/>
          <w:kern w:val="0"/>
          <w:sz w:val="24"/>
          <w:szCs w:val="24"/>
          <w:vertAlign w:val="superscript"/>
          <w14:ligatures w14:val="none"/>
        </w:rPr>
        <w:t xml:space="preserve"> 9</w:t>
      </w:r>
      <w:r w:rsidRPr="00F970CD">
        <w:rPr>
          <w:rFonts w:ascii="Arial" w:hAnsi="Arial" w:cs="Arial"/>
          <w:kern w:val="0"/>
          <w:sz w:val="24"/>
          <w:szCs w:val="24"/>
          <w14:ligatures w14:val="none"/>
        </w:rPr>
        <w:t>, Robert A. Dineen</w:t>
      </w:r>
      <w:r w:rsidRPr="00F970CD">
        <w:rPr>
          <w:rFonts w:ascii="Arial" w:hAnsi="Arial" w:cs="Arial"/>
          <w:kern w:val="0"/>
          <w:sz w:val="24"/>
          <w:szCs w:val="24"/>
          <w:vertAlign w:val="superscript"/>
          <w14:ligatures w14:val="none"/>
        </w:rPr>
        <w:t>1,2,10,11</w:t>
      </w:r>
      <w:r w:rsidRPr="00F970CD">
        <w:rPr>
          <w:rFonts w:ascii="Arial" w:hAnsi="Arial" w:cs="Arial"/>
          <w:kern w:val="0"/>
          <w:sz w:val="24"/>
          <w:szCs w:val="24"/>
          <w14:ligatures w14:val="none"/>
        </w:rPr>
        <w:t xml:space="preserve">, </w:t>
      </w:r>
    </w:p>
    <w:p w14:paraId="7CB333D8" w14:textId="132AA5E3" w:rsidR="00C14E38" w:rsidRDefault="00C14E38" w:rsidP="00C14E38">
      <w:pPr>
        <w:spacing w:after="0" w:line="480" w:lineRule="auto"/>
        <w:rPr>
          <w:rFonts w:ascii="Arial" w:hAnsi="Arial" w:cs="Arial"/>
          <w:kern w:val="0"/>
          <w:sz w:val="24"/>
          <w:szCs w:val="24"/>
          <w14:ligatures w14:val="none"/>
        </w:rPr>
      </w:pPr>
    </w:p>
    <w:p w14:paraId="662ABCB8" w14:textId="04C6E65A" w:rsidR="000A5544" w:rsidRPr="00F970CD" w:rsidRDefault="000A5544" w:rsidP="00C14E38">
      <w:pPr>
        <w:spacing w:after="0" w:line="480" w:lineRule="auto"/>
        <w:rPr>
          <w:rFonts w:ascii="Arial" w:hAnsi="Arial" w:cs="Arial"/>
          <w:kern w:val="0"/>
          <w:sz w:val="24"/>
          <w:szCs w:val="24"/>
          <w14:ligatures w14:val="none"/>
        </w:rPr>
      </w:pPr>
      <w:r>
        <w:rPr>
          <w:rFonts w:ascii="Arial" w:hAnsi="Arial" w:cs="Arial"/>
          <w:kern w:val="0"/>
          <w:sz w:val="24"/>
          <w:szCs w:val="24"/>
          <w14:ligatures w14:val="none"/>
        </w:rPr>
        <w:t>Affiliations:</w:t>
      </w:r>
    </w:p>
    <w:p w14:paraId="01D8D7AA" w14:textId="214278B4" w:rsidR="00C14E38" w:rsidRPr="00F970CD" w:rsidRDefault="00C14E38" w:rsidP="00C14E38">
      <w:pPr>
        <w:spacing w:after="0" w:line="480" w:lineRule="auto"/>
        <w:rPr>
          <w:rFonts w:ascii="Arial" w:hAnsi="Arial" w:cs="Arial"/>
          <w:kern w:val="0"/>
          <w:sz w:val="24"/>
          <w:szCs w:val="24"/>
          <w14:ligatures w14:val="none"/>
        </w:rPr>
      </w:pPr>
      <w:r w:rsidRPr="00F970CD">
        <w:rPr>
          <w:rFonts w:ascii="Arial" w:hAnsi="Arial" w:cs="Arial"/>
          <w:kern w:val="0"/>
          <w:sz w:val="24"/>
          <w:szCs w:val="24"/>
          <w14:ligatures w14:val="none"/>
        </w:rPr>
        <w:t xml:space="preserve">1 Radiological Sciences, Mental Health and Clinical Neuroscience, </w:t>
      </w:r>
      <w:r w:rsidR="00C03471">
        <w:rPr>
          <w:rFonts w:ascii="Arial" w:hAnsi="Arial" w:cs="Arial"/>
          <w:kern w:val="0"/>
          <w:sz w:val="24"/>
          <w:szCs w:val="24"/>
          <w14:ligatures w14:val="none"/>
        </w:rPr>
        <w:t xml:space="preserve">School of Medicine, </w:t>
      </w:r>
      <w:r w:rsidRPr="00F970CD">
        <w:rPr>
          <w:rFonts w:ascii="Arial" w:hAnsi="Arial" w:cs="Arial"/>
          <w:kern w:val="0"/>
          <w:sz w:val="24"/>
          <w:szCs w:val="24"/>
          <w14:ligatures w14:val="none"/>
        </w:rPr>
        <w:t xml:space="preserve">University of Nottingham, Nottingham, United Kingdom </w:t>
      </w:r>
    </w:p>
    <w:p w14:paraId="76D64156" w14:textId="77777777" w:rsidR="00C14E38" w:rsidRPr="00F970CD" w:rsidRDefault="00C14E38" w:rsidP="00C14E38">
      <w:pPr>
        <w:spacing w:after="0" w:line="480" w:lineRule="auto"/>
        <w:rPr>
          <w:rFonts w:ascii="Arial" w:hAnsi="Arial" w:cs="Arial"/>
          <w:kern w:val="0"/>
          <w:sz w:val="24"/>
          <w:szCs w:val="24"/>
          <w14:ligatures w14:val="none"/>
        </w:rPr>
      </w:pPr>
      <w:r w:rsidRPr="00F970CD">
        <w:rPr>
          <w:rFonts w:ascii="Arial" w:hAnsi="Arial" w:cs="Arial"/>
          <w:kern w:val="0"/>
          <w:sz w:val="24"/>
          <w:szCs w:val="24"/>
          <w14:ligatures w14:val="none"/>
        </w:rPr>
        <w:t>2 Department of Radiology, Nottingham University Hospitals NHS Trust, Nottingham, United Kingdom</w:t>
      </w:r>
    </w:p>
    <w:p w14:paraId="1495835F" w14:textId="77777777" w:rsidR="00C14E38" w:rsidRPr="00F970CD" w:rsidRDefault="00C14E38" w:rsidP="00C14E38">
      <w:pPr>
        <w:spacing w:after="0" w:line="480" w:lineRule="auto"/>
        <w:rPr>
          <w:rFonts w:ascii="Arial" w:hAnsi="Arial" w:cs="Arial"/>
          <w:kern w:val="0"/>
          <w:sz w:val="24"/>
          <w:szCs w:val="24"/>
          <w14:ligatures w14:val="none"/>
        </w:rPr>
      </w:pPr>
      <w:r w:rsidRPr="00F970CD">
        <w:rPr>
          <w:rFonts w:ascii="Arial" w:hAnsi="Arial" w:cs="Arial"/>
          <w:kern w:val="0"/>
          <w:sz w:val="24"/>
          <w:szCs w:val="24"/>
          <w14:ligatures w14:val="none"/>
        </w:rPr>
        <w:t>3 Medical Physics &amp; Clinical Engineering, Nottingham University Hospitals NHS Trust, Nottingham, United Kingdom</w:t>
      </w:r>
    </w:p>
    <w:p w14:paraId="40CB7BF7" w14:textId="2BBF53EC" w:rsidR="004F6CAC" w:rsidRPr="00F970CD" w:rsidRDefault="004F6CAC" w:rsidP="004F6CAC">
      <w:pPr>
        <w:spacing w:after="0" w:line="480" w:lineRule="auto"/>
        <w:rPr>
          <w:rFonts w:ascii="Arial" w:hAnsi="Arial" w:cs="Arial"/>
          <w:kern w:val="0"/>
          <w:sz w:val="24"/>
          <w:szCs w:val="24"/>
          <w14:ligatures w14:val="none"/>
        </w:rPr>
      </w:pPr>
      <w:r>
        <w:rPr>
          <w:rFonts w:ascii="Arial" w:hAnsi="Arial" w:cs="Arial"/>
          <w:kern w:val="0"/>
          <w:sz w:val="24"/>
          <w:szCs w:val="24"/>
          <w14:ligatures w14:val="none"/>
        </w:rPr>
        <w:t>4</w:t>
      </w:r>
      <w:r w:rsidRPr="00F970CD">
        <w:rPr>
          <w:rFonts w:ascii="Arial" w:hAnsi="Arial" w:cs="Arial"/>
          <w:kern w:val="0"/>
          <w:sz w:val="24"/>
          <w:szCs w:val="24"/>
          <w14:ligatures w14:val="none"/>
        </w:rPr>
        <w:t xml:space="preserve"> School of Medicine, University of Nottingham, Nottingham, United Kingdom</w:t>
      </w:r>
    </w:p>
    <w:p w14:paraId="46DD991F" w14:textId="66035C2C" w:rsidR="00C14E38" w:rsidRPr="00F970CD" w:rsidRDefault="004F6CAC" w:rsidP="00C14E38">
      <w:pPr>
        <w:spacing w:after="0" w:line="480" w:lineRule="auto"/>
        <w:rPr>
          <w:rFonts w:ascii="Arial" w:hAnsi="Arial" w:cs="Arial"/>
          <w:kern w:val="0"/>
          <w:sz w:val="24"/>
          <w:szCs w:val="24"/>
          <w14:ligatures w14:val="none"/>
        </w:rPr>
      </w:pPr>
      <w:r>
        <w:rPr>
          <w:rFonts w:ascii="Arial" w:hAnsi="Arial" w:cs="Arial"/>
          <w:kern w:val="0"/>
          <w:sz w:val="24"/>
          <w:szCs w:val="24"/>
          <w14:ligatures w14:val="none"/>
        </w:rPr>
        <w:t>5</w:t>
      </w:r>
      <w:r w:rsidR="00C14E38" w:rsidRPr="00F970CD">
        <w:rPr>
          <w:rFonts w:ascii="Arial" w:hAnsi="Arial" w:cs="Arial"/>
          <w:kern w:val="0"/>
          <w:sz w:val="24"/>
          <w:szCs w:val="24"/>
          <w14:ligatures w14:val="none"/>
        </w:rPr>
        <w:t xml:space="preserve"> Department of Paediatric Oncology, </w:t>
      </w:r>
      <w:bookmarkStart w:id="0" w:name="_Hlk101510034"/>
      <w:r w:rsidR="00C14E38" w:rsidRPr="00F970CD">
        <w:rPr>
          <w:rFonts w:ascii="Arial" w:hAnsi="Arial" w:cs="Arial"/>
          <w:kern w:val="0"/>
          <w:sz w:val="24"/>
          <w:szCs w:val="24"/>
          <w14:ligatures w14:val="none"/>
        </w:rPr>
        <w:t xml:space="preserve">Nottingham University Hospitals NHS Trust, Nottingham, </w:t>
      </w:r>
      <w:bookmarkEnd w:id="0"/>
      <w:r w:rsidR="00C14E38" w:rsidRPr="00F970CD">
        <w:rPr>
          <w:rFonts w:ascii="Arial" w:hAnsi="Arial" w:cs="Arial"/>
          <w:kern w:val="0"/>
          <w:sz w:val="24"/>
          <w:szCs w:val="24"/>
          <w14:ligatures w14:val="none"/>
        </w:rPr>
        <w:t>United Kingdom</w:t>
      </w:r>
    </w:p>
    <w:p w14:paraId="3E480A49" w14:textId="29F40337" w:rsidR="00C14E38" w:rsidRPr="00F970CD" w:rsidRDefault="004F6CAC" w:rsidP="00C14E38">
      <w:pPr>
        <w:spacing w:after="0" w:line="480" w:lineRule="auto"/>
        <w:rPr>
          <w:rFonts w:ascii="Arial" w:hAnsi="Arial" w:cs="Arial"/>
          <w:kern w:val="0"/>
          <w:sz w:val="24"/>
          <w:szCs w:val="24"/>
          <w14:ligatures w14:val="none"/>
        </w:rPr>
      </w:pPr>
      <w:r>
        <w:rPr>
          <w:rFonts w:ascii="Arial" w:hAnsi="Arial" w:cs="Arial"/>
          <w:kern w:val="0"/>
          <w:sz w:val="24"/>
          <w:szCs w:val="24"/>
          <w14:ligatures w14:val="none"/>
        </w:rPr>
        <w:t>6</w:t>
      </w:r>
      <w:r w:rsidR="00C14E38" w:rsidRPr="00F970CD">
        <w:rPr>
          <w:rFonts w:ascii="Arial" w:hAnsi="Arial" w:cs="Arial"/>
          <w:kern w:val="0"/>
          <w:sz w:val="24"/>
          <w:szCs w:val="24"/>
          <w14:ligatures w14:val="none"/>
        </w:rPr>
        <w:t xml:space="preserve"> Nottingham Clinical Genetics Service, </w:t>
      </w:r>
      <w:bookmarkStart w:id="1" w:name="_Hlk101509843"/>
      <w:r w:rsidR="00C14E38" w:rsidRPr="00F970CD">
        <w:rPr>
          <w:rFonts w:ascii="Arial" w:hAnsi="Arial" w:cs="Arial"/>
          <w:kern w:val="0"/>
          <w:sz w:val="24"/>
          <w:szCs w:val="24"/>
          <w14:ligatures w14:val="none"/>
        </w:rPr>
        <w:t xml:space="preserve">Nottingham University Hospitals NHS Trust, Nottingham, </w:t>
      </w:r>
      <w:bookmarkEnd w:id="1"/>
      <w:r w:rsidR="00C14E38" w:rsidRPr="00F970CD">
        <w:rPr>
          <w:rFonts w:ascii="Arial" w:hAnsi="Arial" w:cs="Arial"/>
          <w:kern w:val="0"/>
          <w:sz w:val="24"/>
          <w:szCs w:val="24"/>
          <w14:ligatures w14:val="none"/>
        </w:rPr>
        <w:t>United Kingdom</w:t>
      </w:r>
    </w:p>
    <w:p w14:paraId="06A1579D" w14:textId="77777777" w:rsidR="00C14E38" w:rsidRPr="00F970CD" w:rsidRDefault="00C14E38" w:rsidP="00C14E38">
      <w:pPr>
        <w:spacing w:after="0" w:line="480" w:lineRule="auto"/>
        <w:rPr>
          <w:rFonts w:ascii="Arial" w:hAnsi="Arial" w:cs="Arial"/>
          <w:kern w:val="0"/>
          <w:sz w:val="24"/>
          <w:szCs w:val="24"/>
          <w14:ligatures w14:val="none"/>
        </w:rPr>
      </w:pPr>
      <w:r w:rsidRPr="00F970CD">
        <w:rPr>
          <w:rFonts w:ascii="Arial" w:hAnsi="Arial" w:cs="Arial"/>
          <w:kern w:val="0"/>
          <w:sz w:val="24"/>
          <w:szCs w:val="24"/>
          <w14:ligatures w14:val="none"/>
        </w:rPr>
        <w:t>7 Department of Radiology, Nottingham Children’s Hospital, Nottingham University Hospitals NHS Trust, Nottingham, United Kingdom</w:t>
      </w:r>
    </w:p>
    <w:p w14:paraId="76AAE5B1" w14:textId="77777777" w:rsidR="00C14E38" w:rsidRPr="00F970CD" w:rsidRDefault="00C14E38" w:rsidP="00C14E38">
      <w:pPr>
        <w:spacing w:after="0" w:line="480" w:lineRule="auto"/>
        <w:rPr>
          <w:rFonts w:ascii="Arial" w:hAnsi="Arial" w:cs="Arial"/>
          <w:kern w:val="0"/>
          <w:sz w:val="24"/>
          <w:szCs w:val="24"/>
          <w14:ligatures w14:val="none"/>
        </w:rPr>
      </w:pPr>
      <w:r w:rsidRPr="00F970CD">
        <w:rPr>
          <w:rFonts w:ascii="Arial" w:hAnsi="Arial" w:cs="Arial"/>
          <w:kern w:val="0"/>
          <w:sz w:val="24"/>
          <w:szCs w:val="24"/>
          <w14:ligatures w14:val="none"/>
        </w:rPr>
        <w:lastRenderedPageBreak/>
        <w:t>8 Children’s Brain Tumour Research Centre, University of Nottingham, Nottingham, United Kingdom</w:t>
      </w:r>
    </w:p>
    <w:p w14:paraId="153AB855" w14:textId="77777777" w:rsidR="00C14E38" w:rsidRPr="00F970CD" w:rsidRDefault="00C14E38" w:rsidP="00C14E38">
      <w:pPr>
        <w:spacing w:after="0" w:line="480" w:lineRule="auto"/>
        <w:rPr>
          <w:rFonts w:ascii="Arial" w:hAnsi="Arial" w:cs="Arial"/>
          <w:kern w:val="0"/>
          <w:sz w:val="24"/>
          <w:szCs w:val="24"/>
          <w14:ligatures w14:val="none"/>
        </w:rPr>
      </w:pPr>
      <w:r w:rsidRPr="00F970CD">
        <w:rPr>
          <w:rFonts w:ascii="Arial" w:hAnsi="Arial" w:cs="Arial"/>
          <w:kern w:val="0"/>
          <w:sz w:val="24"/>
          <w:szCs w:val="24"/>
          <w14:ligatures w14:val="none"/>
        </w:rPr>
        <w:t xml:space="preserve">9 Institute of Mental Health, University of Nottingham, Nottingham, United Kingdom </w:t>
      </w:r>
    </w:p>
    <w:p w14:paraId="08BE4044" w14:textId="77777777" w:rsidR="00C14E38" w:rsidRPr="00F970CD" w:rsidRDefault="00C14E38" w:rsidP="00C14E38">
      <w:pPr>
        <w:spacing w:after="0" w:line="480" w:lineRule="auto"/>
        <w:rPr>
          <w:rFonts w:ascii="Arial" w:hAnsi="Arial" w:cs="Arial"/>
          <w:kern w:val="0"/>
          <w:sz w:val="24"/>
          <w:szCs w:val="24"/>
          <w14:ligatures w14:val="none"/>
        </w:rPr>
      </w:pPr>
      <w:r w:rsidRPr="00F970CD">
        <w:rPr>
          <w:rFonts w:ascii="Arial" w:hAnsi="Arial" w:cs="Arial"/>
          <w:kern w:val="0"/>
          <w:sz w:val="24"/>
          <w:szCs w:val="24"/>
          <w14:ligatures w14:val="none"/>
        </w:rPr>
        <w:t>10 NIHR Nottingham Biomedical Research Centre, Nottingham, United Kingdom</w:t>
      </w:r>
    </w:p>
    <w:p w14:paraId="05B42AB4" w14:textId="77777777" w:rsidR="00C14E38" w:rsidRPr="00F970CD" w:rsidRDefault="00C14E38" w:rsidP="00C14E38">
      <w:pPr>
        <w:spacing w:after="0" w:line="480" w:lineRule="auto"/>
        <w:rPr>
          <w:rFonts w:ascii="Arial" w:hAnsi="Arial" w:cs="Arial"/>
          <w:kern w:val="0"/>
          <w:sz w:val="24"/>
          <w:szCs w:val="24"/>
          <w14:ligatures w14:val="none"/>
        </w:rPr>
      </w:pPr>
      <w:r w:rsidRPr="00F970CD">
        <w:rPr>
          <w:rFonts w:ascii="Arial" w:hAnsi="Arial" w:cs="Arial"/>
          <w:kern w:val="0"/>
          <w:sz w:val="24"/>
          <w:szCs w:val="24"/>
          <w14:ligatures w14:val="none"/>
        </w:rPr>
        <w:t>11 Sir Peter Mansfield Imaging Centre, University of Nottingham, United Kingdom</w:t>
      </w:r>
    </w:p>
    <w:p w14:paraId="091137AE" w14:textId="77777777" w:rsidR="00F46D64" w:rsidRDefault="00F46D64" w:rsidP="00C14E38">
      <w:pPr>
        <w:spacing w:after="0" w:line="480" w:lineRule="auto"/>
        <w:jc w:val="both"/>
        <w:rPr>
          <w:rFonts w:ascii="Arial" w:hAnsi="Arial" w:cs="Arial"/>
          <w:kern w:val="0"/>
          <w:sz w:val="24"/>
          <w:szCs w:val="24"/>
          <w14:ligatures w14:val="none"/>
        </w:rPr>
      </w:pPr>
    </w:p>
    <w:p w14:paraId="15B7DA83" w14:textId="66258986" w:rsidR="00F46D64" w:rsidRDefault="00F46D64" w:rsidP="00C14E38">
      <w:pPr>
        <w:spacing w:after="0" w:line="480" w:lineRule="auto"/>
        <w:jc w:val="both"/>
        <w:rPr>
          <w:rFonts w:ascii="Arial" w:hAnsi="Arial" w:cs="Arial"/>
          <w:kern w:val="0"/>
          <w:sz w:val="24"/>
          <w:szCs w:val="24"/>
          <w14:ligatures w14:val="none"/>
        </w:rPr>
      </w:pPr>
      <w:r>
        <w:rPr>
          <w:rFonts w:ascii="Arial" w:hAnsi="Arial" w:cs="Arial"/>
          <w:kern w:val="0"/>
          <w:sz w:val="24"/>
          <w:szCs w:val="24"/>
          <w14:ligatures w14:val="none"/>
        </w:rPr>
        <w:t xml:space="preserve">Corresponding Author:  Prof Rob Dineen, </w:t>
      </w:r>
      <w:hyperlink r:id="rId8" w:history="1">
        <w:r w:rsidRPr="005F30D4">
          <w:rPr>
            <w:rStyle w:val="Hyperlink"/>
            <w:rFonts w:ascii="Arial" w:hAnsi="Arial" w:cs="Arial"/>
            <w:kern w:val="0"/>
            <w:sz w:val="24"/>
            <w:szCs w:val="24"/>
            <w14:ligatures w14:val="none"/>
          </w:rPr>
          <w:t>rob.dineen@nottingham.ac.uk</w:t>
        </w:r>
      </w:hyperlink>
      <w:r>
        <w:rPr>
          <w:rFonts w:ascii="Arial" w:hAnsi="Arial" w:cs="Arial"/>
          <w:kern w:val="0"/>
          <w:sz w:val="24"/>
          <w:szCs w:val="24"/>
          <w14:ligatures w14:val="none"/>
        </w:rPr>
        <w:t>, telephone +44 115 8231173</w:t>
      </w:r>
    </w:p>
    <w:p w14:paraId="31007120" w14:textId="77777777" w:rsidR="00F46D64" w:rsidRDefault="00F46D64" w:rsidP="00C14E38">
      <w:pPr>
        <w:spacing w:after="0" w:line="480" w:lineRule="auto"/>
        <w:jc w:val="both"/>
        <w:rPr>
          <w:rFonts w:ascii="Arial" w:hAnsi="Arial" w:cs="Arial"/>
          <w:kern w:val="0"/>
          <w:sz w:val="24"/>
          <w:szCs w:val="24"/>
          <w14:ligatures w14:val="none"/>
        </w:rPr>
      </w:pPr>
    </w:p>
    <w:p w14:paraId="2D3AE77B" w14:textId="77777777" w:rsidR="00C14E38" w:rsidRPr="00F970CD" w:rsidRDefault="00C14E38" w:rsidP="00C14E38">
      <w:pPr>
        <w:spacing w:after="0" w:line="480" w:lineRule="auto"/>
        <w:jc w:val="both"/>
        <w:rPr>
          <w:rFonts w:ascii="Arial" w:hAnsi="Arial" w:cs="Arial"/>
          <w:kern w:val="0"/>
          <w:sz w:val="24"/>
          <w:szCs w:val="24"/>
          <w14:ligatures w14:val="none"/>
        </w:rPr>
      </w:pPr>
    </w:p>
    <w:p w14:paraId="01CE59BE" w14:textId="77777777" w:rsidR="00C14E38" w:rsidRPr="00F970CD" w:rsidRDefault="00C14E38" w:rsidP="00C14E38">
      <w:pPr>
        <w:spacing w:after="0" w:line="480" w:lineRule="auto"/>
        <w:jc w:val="both"/>
        <w:rPr>
          <w:rFonts w:ascii="Arial" w:hAnsi="Arial" w:cs="Arial"/>
          <w:kern w:val="0"/>
          <w:sz w:val="24"/>
          <w:szCs w:val="24"/>
          <w14:ligatures w14:val="none"/>
        </w:rPr>
      </w:pPr>
    </w:p>
    <w:p w14:paraId="64557057" w14:textId="77777777" w:rsidR="00C14E38" w:rsidRPr="00F970CD" w:rsidRDefault="00C14E38" w:rsidP="00C14E38">
      <w:pPr>
        <w:spacing w:after="0" w:line="480" w:lineRule="auto"/>
        <w:rPr>
          <w:rFonts w:ascii="Arial" w:hAnsi="Arial" w:cs="Arial"/>
          <w:kern w:val="0"/>
          <w:sz w:val="24"/>
          <w:szCs w:val="24"/>
          <w14:ligatures w14:val="none"/>
        </w:rPr>
      </w:pPr>
    </w:p>
    <w:p w14:paraId="3CC39ACA" w14:textId="77777777" w:rsidR="00C14E38" w:rsidRPr="00F970CD" w:rsidRDefault="00C14E38" w:rsidP="00C14E38">
      <w:pPr>
        <w:rPr>
          <w:rFonts w:ascii="Arial" w:hAnsi="Arial" w:cs="Arial"/>
          <w:kern w:val="0"/>
          <w:sz w:val="24"/>
          <w:szCs w:val="24"/>
          <w14:ligatures w14:val="none"/>
        </w:rPr>
      </w:pPr>
      <w:r w:rsidRPr="00F970CD">
        <w:rPr>
          <w:rFonts w:ascii="Arial" w:hAnsi="Arial" w:cs="Arial"/>
          <w:kern w:val="0"/>
          <w:sz w:val="24"/>
          <w:szCs w:val="24"/>
          <w14:ligatures w14:val="none"/>
        </w:rPr>
        <w:br w:type="page"/>
      </w:r>
    </w:p>
    <w:p w14:paraId="3716186A" w14:textId="68C9AA3F" w:rsidR="00C14E38" w:rsidRDefault="00C14E38" w:rsidP="00C14E38">
      <w:pPr>
        <w:spacing w:after="0" w:line="480" w:lineRule="auto"/>
        <w:rPr>
          <w:rFonts w:ascii="Arial" w:hAnsi="Arial" w:cs="Arial"/>
          <w:kern w:val="0"/>
          <w:sz w:val="24"/>
          <w:szCs w:val="24"/>
          <w14:ligatures w14:val="none"/>
        </w:rPr>
      </w:pPr>
      <w:r w:rsidRPr="00F970CD">
        <w:rPr>
          <w:rFonts w:ascii="Arial" w:hAnsi="Arial" w:cs="Arial"/>
          <w:kern w:val="0"/>
          <w:sz w:val="24"/>
          <w:szCs w:val="24"/>
          <w14:ligatures w14:val="none"/>
        </w:rPr>
        <w:lastRenderedPageBreak/>
        <w:t xml:space="preserve">Abstract </w:t>
      </w:r>
    </w:p>
    <w:p w14:paraId="72DCB9C5" w14:textId="77777777" w:rsidR="002470D2" w:rsidRDefault="002470D2" w:rsidP="00C14E38">
      <w:pPr>
        <w:spacing w:after="0" w:line="480" w:lineRule="auto"/>
        <w:jc w:val="both"/>
        <w:rPr>
          <w:rFonts w:ascii="Arial" w:hAnsi="Arial" w:cs="Arial"/>
          <w:i/>
          <w:iCs/>
          <w:kern w:val="0"/>
          <w:sz w:val="24"/>
          <w:szCs w:val="24"/>
          <w14:ligatures w14:val="none"/>
        </w:rPr>
      </w:pPr>
    </w:p>
    <w:p w14:paraId="65B37CF6" w14:textId="08E6E53B" w:rsidR="00C14E38" w:rsidRPr="00F970CD" w:rsidRDefault="00C14E38" w:rsidP="00C14E38">
      <w:pPr>
        <w:spacing w:after="0" w:line="480" w:lineRule="auto"/>
        <w:jc w:val="both"/>
        <w:rPr>
          <w:rFonts w:ascii="Arial" w:hAnsi="Arial" w:cs="Arial"/>
          <w:kern w:val="0"/>
          <w:sz w:val="24"/>
          <w:szCs w:val="24"/>
          <w14:ligatures w14:val="none"/>
        </w:rPr>
      </w:pPr>
      <w:r w:rsidRPr="00F970CD">
        <w:rPr>
          <w:rFonts w:ascii="Arial" w:hAnsi="Arial" w:cs="Arial"/>
          <w:i/>
          <w:iCs/>
          <w:kern w:val="0"/>
          <w:sz w:val="24"/>
          <w:szCs w:val="24"/>
          <w14:ligatures w14:val="none"/>
        </w:rPr>
        <w:t>Background/objectives</w:t>
      </w:r>
      <w:r w:rsidRPr="00F970CD">
        <w:rPr>
          <w:rFonts w:ascii="Arial" w:hAnsi="Arial" w:cs="Arial"/>
          <w:kern w:val="0"/>
          <w:sz w:val="24"/>
          <w:szCs w:val="24"/>
          <w14:ligatures w14:val="none"/>
        </w:rPr>
        <w:t>: Ataxia Telangiectasia (A-T) is a complex inherited disease associated with an increased risk of malignancy. Surveillance guidelines have demonstrated significant health benefits in other cancer predisposition syndromes</w:t>
      </w:r>
      <w:r w:rsidR="00647533">
        <w:rPr>
          <w:rFonts w:ascii="Arial" w:hAnsi="Arial" w:cs="Arial"/>
          <w:kern w:val="0"/>
          <w:sz w:val="24"/>
          <w:szCs w:val="24"/>
          <w14:ligatures w14:val="none"/>
        </w:rPr>
        <w:t xml:space="preserve"> but</w:t>
      </w:r>
      <w:r w:rsidRPr="00F970CD">
        <w:rPr>
          <w:rFonts w:ascii="Arial" w:hAnsi="Arial" w:cs="Arial"/>
          <w:kern w:val="0"/>
          <w:sz w:val="24"/>
          <w:szCs w:val="24"/>
          <w14:ligatures w14:val="none"/>
        </w:rPr>
        <w:t xml:space="preserve"> evidence-based guidelines for cancer </w:t>
      </w:r>
      <w:r w:rsidR="00647533">
        <w:rPr>
          <w:rFonts w:ascii="Arial" w:hAnsi="Arial" w:cs="Arial"/>
          <w:kern w:val="0"/>
          <w:sz w:val="24"/>
          <w:szCs w:val="24"/>
          <w14:ligatures w14:val="none"/>
        </w:rPr>
        <w:t xml:space="preserve">surveillance </w:t>
      </w:r>
      <w:r w:rsidR="000A5544">
        <w:rPr>
          <w:rFonts w:ascii="Arial" w:hAnsi="Arial" w:cs="Arial"/>
          <w:kern w:val="0"/>
          <w:sz w:val="24"/>
          <w:szCs w:val="24"/>
          <w14:ligatures w14:val="none"/>
        </w:rPr>
        <w:t>in</w:t>
      </w:r>
      <w:r w:rsidR="000A5544" w:rsidRPr="00F970CD">
        <w:rPr>
          <w:rFonts w:ascii="Arial" w:hAnsi="Arial" w:cs="Arial"/>
          <w:kern w:val="0"/>
          <w:sz w:val="24"/>
          <w:szCs w:val="24"/>
          <w14:ligatures w14:val="none"/>
        </w:rPr>
        <w:t xml:space="preserve"> A-T</w:t>
      </w:r>
      <w:r w:rsidR="000A5544">
        <w:rPr>
          <w:rFonts w:ascii="Arial" w:hAnsi="Arial" w:cs="Arial"/>
          <w:kern w:val="0"/>
          <w:sz w:val="24"/>
          <w:szCs w:val="24"/>
          <w14:ligatures w14:val="none"/>
        </w:rPr>
        <w:t xml:space="preserve"> </w:t>
      </w:r>
      <w:r w:rsidR="00647533">
        <w:rPr>
          <w:rFonts w:ascii="Arial" w:hAnsi="Arial" w:cs="Arial"/>
          <w:kern w:val="0"/>
          <w:sz w:val="24"/>
          <w:szCs w:val="24"/>
          <w14:ligatures w14:val="none"/>
        </w:rPr>
        <w:t>are lacking</w:t>
      </w:r>
      <w:r w:rsidRPr="00F970CD">
        <w:rPr>
          <w:rFonts w:ascii="Arial" w:hAnsi="Arial" w:cs="Arial"/>
          <w:kern w:val="0"/>
          <w:sz w:val="24"/>
          <w:szCs w:val="24"/>
          <w14:ligatures w14:val="none"/>
        </w:rPr>
        <w:t xml:space="preserve">. This study </w:t>
      </w:r>
      <w:r w:rsidR="000A5544">
        <w:rPr>
          <w:rFonts w:ascii="Arial" w:hAnsi="Arial" w:cs="Arial"/>
          <w:kern w:val="0"/>
          <w:sz w:val="24"/>
          <w:szCs w:val="24"/>
          <w14:ligatures w14:val="none"/>
        </w:rPr>
        <w:t>will</w:t>
      </w:r>
      <w:r w:rsidRPr="00F970CD">
        <w:rPr>
          <w:rFonts w:ascii="Arial" w:hAnsi="Arial" w:cs="Arial"/>
          <w:kern w:val="0"/>
          <w:sz w:val="24"/>
          <w:szCs w:val="24"/>
          <w14:ligatures w14:val="none"/>
        </w:rPr>
        <w:t xml:space="preserve"> establish technical feasibility of whole-body MRI (WBMRI) for cancer surveillance in children a</w:t>
      </w:r>
      <w:r w:rsidR="000A5544">
        <w:rPr>
          <w:rFonts w:ascii="Arial" w:hAnsi="Arial" w:cs="Arial"/>
          <w:kern w:val="0"/>
          <w:sz w:val="24"/>
          <w:szCs w:val="24"/>
          <w14:ligatures w14:val="none"/>
        </w:rPr>
        <w:t xml:space="preserve">nd young people with A-T and </w:t>
      </w:r>
      <w:r w:rsidRPr="00F970CD">
        <w:rPr>
          <w:rFonts w:ascii="Arial" w:hAnsi="Arial" w:cs="Arial"/>
          <w:kern w:val="0"/>
          <w:sz w:val="24"/>
          <w:szCs w:val="24"/>
          <w14:ligatures w14:val="none"/>
        </w:rPr>
        <w:t xml:space="preserve">assess the psychological impact on participants and their families in response to participating in a cancer surveillance programme. </w:t>
      </w:r>
    </w:p>
    <w:p w14:paraId="18CFBBAC" w14:textId="77777777" w:rsidR="002470D2" w:rsidRDefault="002470D2" w:rsidP="00C14E38">
      <w:pPr>
        <w:spacing w:after="0" w:line="480" w:lineRule="auto"/>
        <w:jc w:val="both"/>
        <w:rPr>
          <w:rFonts w:ascii="Arial" w:hAnsi="Arial" w:cs="Arial"/>
          <w:i/>
          <w:iCs/>
          <w:kern w:val="0"/>
          <w:sz w:val="24"/>
          <w:szCs w:val="24"/>
          <w14:ligatures w14:val="none"/>
        </w:rPr>
      </w:pPr>
    </w:p>
    <w:p w14:paraId="41A92D2E" w14:textId="74ADE7E5" w:rsidR="00C14E38" w:rsidRDefault="00C14E38" w:rsidP="00C14E38">
      <w:pPr>
        <w:spacing w:after="0" w:line="480" w:lineRule="auto"/>
        <w:jc w:val="both"/>
        <w:rPr>
          <w:rFonts w:ascii="Arial" w:hAnsi="Arial" w:cs="Arial"/>
          <w:kern w:val="0"/>
          <w:sz w:val="24"/>
          <w:szCs w:val="24"/>
          <w14:ligatures w14:val="none"/>
        </w:rPr>
      </w:pPr>
      <w:r w:rsidRPr="00F970CD">
        <w:rPr>
          <w:rFonts w:ascii="Arial" w:hAnsi="Arial" w:cs="Arial"/>
          <w:i/>
          <w:iCs/>
          <w:kern w:val="0"/>
          <w:sz w:val="24"/>
          <w:szCs w:val="24"/>
          <w14:ligatures w14:val="none"/>
        </w:rPr>
        <w:t>Methods</w:t>
      </w:r>
      <w:r w:rsidRPr="00F970CD">
        <w:rPr>
          <w:rFonts w:ascii="Arial" w:hAnsi="Arial" w:cs="Arial"/>
          <w:kern w:val="0"/>
          <w:sz w:val="24"/>
          <w:szCs w:val="24"/>
          <w14:ligatures w14:val="none"/>
        </w:rPr>
        <w:t xml:space="preserve">: </w:t>
      </w:r>
      <w:r w:rsidR="00E3103D">
        <w:rPr>
          <w:rFonts w:ascii="Arial" w:hAnsi="Arial" w:cs="Arial"/>
          <w:kern w:val="0"/>
          <w:sz w:val="24"/>
          <w:szCs w:val="24"/>
          <w14:ligatures w14:val="none"/>
        </w:rPr>
        <w:t xml:space="preserve">In this </w:t>
      </w:r>
      <w:r w:rsidR="00E3103D" w:rsidRPr="00E3103D">
        <w:rPr>
          <w:rFonts w:ascii="Arial" w:hAnsi="Arial" w:cs="Arial"/>
          <w:kern w:val="0"/>
          <w:sz w:val="24"/>
          <w:szCs w:val="24"/>
          <w14:ligatures w14:val="none"/>
        </w:rPr>
        <w:t>mixed methods feasibility study</w:t>
      </w:r>
      <w:r w:rsidR="00DA15BD">
        <w:rPr>
          <w:rFonts w:ascii="Arial" w:hAnsi="Arial" w:cs="Arial"/>
          <w:kern w:val="0"/>
          <w:sz w:val="24"/>
          <w:szCs w:val="24"/>
          <w14:ligatures w14:val="none"/>
        </w:rPr>
        <w:t>,</w:t>
      </w:r>
      <w:r w:rsidR="00E3103D" w:rsidRPr="00E3103D">
        <w:rPr>
          <w:rFonts w:ascii="Arial" w:hAnsi="Arial" w:cs="Arial"/>
          <w:kern w:val="0"/>
          <w:sz w:val="24"/>
          <w:szCs w:val="24"/>
          <w14:ligatures w14:val="none"/>
        </w:rPr>
        <w:t xml:space="preserve"> </w:t>
      </w:r>
      <w:r w:rsidR="00E3103D" w:rsidRPr="00F970CD">
        <w:rPr>
          <w:rFonts w:ascii="Arial" w:hAnsi="Arial" w:cs="Arial"/>
          <w:kern w:val="0"/>
          <w:sz w:val="24"/>
          <w:szCs w:val="24"/>
          <w14:ligatures w14:val="none"/>
        </w:rPr>
        <w:t>we</w:t>
      </w:r>
      <w:r w:rsidRPr="00F970CD">
        <w:rPr>
          <w:rFonts w:ascii="Arial" w:hAnsi="Arial" w:cs="Arial"/>
          <w:kern w:val="0"/>
          <w:sz w:val="24"/>
          <w:szCs w:val="24"/>
          <w14:ligatures w14:val="none"/>
        </w:rPr>
        <w:t xml:space="preserve"> </w:t>
      </w:r>
      <w:r w:rsidR="00E3103D">
        <w:rPr>
          <w:rFonts w:ascii="Arial" w:hAnsi="Arial" w:cs="Arial"/>
          <w:kern w:val="0"/>
          <w:sz w:val="24"/>
          <w:szCs w:val="24"/>
          <w14:ligatures w14:val="none"/>
        </w:rPr>
        <w:t>aim</w:t>
      </w:r>
      <w:r w:rsidRPr="00F970CD">
        <w:rPr>
          <w:rFonts w:ascii="Arial" w:hAnsi="Arial" w:cs="Arial"/>
          <w:kern w:val="0"/>
          <w:sz w:val="24"/>
          <w:szCs w:val="24"/>
          <w14:ligatures w14:val="none"/>
        </w:rPr>
        <w:t xml:space="preserve"> to recruit 20 children and young people with A-T to undergo a WBMRI scan, which will take approximately 40 minutes. This will be followed by an optional blood test. We will invite all participants</w:t>
      </w:r>
      <w:r w:rsidR="002470D2">
        <w:rPr>
          <w:rFonts w:ascii="Arial" w:hAnsi="Arial" w:cs="Arial"/>
          <w:kern w:val="0"/>
          <w:sz w:val="24"/>
          <w:szCs w:val="24"/>
          <w14:ligatures w14:val="none"/>
        </w:rPr>
        <w:t xml:space="preserve"> with A-T</w:t>
      </w:r>
      <w:r w:rsidRPr="00F970CD">
        <w:rPr>
          <w:rFonts w:ascii="Arial" w:hAnsi="Arial" w:cs="Arial"/>
          <w:kern w:val="0"/>
          <w:sz w:val="24"/>
          <w:szCs w:val="24"/>
          <w14:ligatures w14:val="none"/>
        </w:rPr>
        <w:t xml:space="preserve"> </w:t>
      </w:r>
      <w:r w:rsidR="002470D2">
        <w:rPr>
          <w:rFonts w:ascii="Arial" w:hAnsi="Arial" w:cs="Arial"/>
          <w:kern w:val="0"/>
          <w:sz w:val="24"/>
          <w:szCs w:val="24"/>
          <w14:ligatures w14:val="none"/>
        </w:rPr>
        <w:t xml:space="preserve">and their family members </w:t>
      </w:r>
      <w:r w:rsidRPr="00F970CD">
        <w:rPr>
          <w:rFonts w:ascii="Arial" w:hAnsi="Arial" w:cs="Arial"/>
          <w:kern w:val="0"/>
          <w:sz w:val="24"/>
          <w:szCs w:val="24"/>
          <w14:ligatures w14:val="none"/>
        </w:rPr>
        <w:t>to semi-structured interviews to assess the experience of participating and their feelings about waiting for, and communicatio</w:t>
      </w:r>
      <w:r w:rsidR="002470D2">
        <w:rPr>
          <w:rFonts w:ascii="Arial" w:hAnsi="Arial" w:cs="Arial"/>
          <w:kern w:val="0"/>
          <w:sz w:val="24"/>
          <w:szCs w:val="24"/>
          <w14:ligatures w14:val="none"/>
        </w:rPr>
        <w:t xml:space="preserve">n of, the findings of the scan. </w:t>
      </w:r>
      <w:r w:rsidRPr="00F970CD">
        <w:rPr>
          <w:rFonts w:ascii="Arial" w:hAnsi="Arial" w:cs="Arial"/>
          <w:kern w:val="0"/>
          <w:sz w:val="24"/>
          <w:szCs w:val="24"/>
          <w14:ligatures w14:val="none"/>
        </w:rPr>
        <w:t xml:space="preserve"> Feasibility outcomes</w:t>
      </w:r>
      <w:r w:rsidR="00785673">
        <w:rPr>
          <w:rFonts w:ascii="Arial" w:hAnsi="Arial" w:cs="Arial"/>
          <w:kern w:val="0"/>
          <w:sz w:val="24"/>
          <w:szCs w:val="24"/>
          <w14:ligatures w14:val="none"/>
        </w:rPr>
        <w:t xml:space="preserve"> will</w:t>
      </w:r>
      <w:r w:rsidRPr="00F970CD">
        <w:rPr>
          <w:rFonts w:ascii="Arial" w:hAnsi="Arial" w:cs="Arial"/>
          <w:kern w:val="0"/>
          <w:sz w:val="24"/>
          <w:szCs w:val="24"/>
          <w14:ligatures w14:val="none"/>
        </w:rPr>
        <w:t xml:space="preserve"> include the rate of completion of WBMRI protocol, the duration of the scan tolerated (if not full protocol) and the assessment of the diagnostic image quality. Secondary outcomes</w:t>
      </w:r>
      <w:r w:rsidR="00785673">
        <w:rPr>
          <w:rFonts w:ascii="Arial" w:hAnsi="Arial" w:cs="Arial"/>
          <w:kern w:val="0"/>
          <w:sz w:val="24"/>
          <w:szCs w:val="24"/>
          <w14:ligatures w14:val="none"/>
        </w:rPr>
        <w:t xml:space="preserve"> will</w:t>
      </w:r>
      <w:r w:rsidRPr="00F970CD">
        <w:rPr>
          <w:rFonts w:ascii="Arial" w:hAnsi="Arial" w:cs="Arial"/>
          <w:kern w:val="0"/>
          <w:sz w:val="24"/>
          <w:szCs w:val="24"/>
          <w14:ligatures w14:val="none"/>
        </w:rPr>
        <w:t xml:space="preserve"> </w:t>
      </w:r>
      <w:r w:rsidR="00647533">
        <w:rPr>
          <w:rFonts w:ascii="Arial" w:hAnsi="Arial" w:cs="Arial"/>
          <w:kern w:val="0"/>
          <w:sz w:val="24"/>
          <w:szCs w:val="24"/>
          <w14:ligatures w14:val="none"/>
        </w:rPr>
        <w:t>include</w:t>
      </w:r>
      <w:r w:rsidRPr="00F970CD">
        <w:rPr>
          <w:rFonts w:ascii="Arial" w:hAnsi="Arial" w:cs="Arial"/>
          <w:kern w:val="0"/>
          <w:sz w:val="24"/>
          <w:szCs w:val="24"/>
          <w14:ligatures w14:val="none"/>
        </w:rPr>
        <w:t xml:space="preserve"> (i) documentation of number, types and locations of abnormal findings on WBMRI and o</w:t>
      </w:r>
      <w:r w:rsidR="00647533">
        <w:rPr>
          <w:rFonts w:ascii="Arial" w:hAnsi="Arial" w:cs="Arial"/>
          <w:kern w:val="0"/>
          <w:sz w:val="24"/>
          <w:szCs w:val="24"/>
          <w14:ligatures w14:val="none"/>
        </w:rPr>
        <w:t>n blood tests</w:t>
      </w:r>
      <w:r w:rsidRPr="00F970CD">
        <w:rPr>
          <w:rFonts w:ascii="Arial" w:hAnsi="Arial" w:cs="Arial"/>
          <w:kern w:val="0"/>
          <w:sz w:val="24"/>
          <w:szCs w:val="24"/>
          <w14:ligatures w14:val="none"/>
        </w:rPr>
        <w:t xml:space="preserve">; (ii) rates of recommendations for further investigations based on the WBMRI and/or blood test findings; (iii) assessment of </w:t>
      </w:r>
      <w:r w:rsidR="00647533">
        <w:rPr>
          <w:rFonts w:ascii="Arial" w:hAnsi="Arial" w:cs="Arial"/>
          <w:kern w:val="0"/>
          <w:sz w:val="24"/>
          <w:szCs w:val="24"/>
          <w14:ligatures w14:val="none"/>
        </w:rPr>
        <w:t xml:space="preserve">experience and </w:t>
      </w:r>
      <w:r w:rsidRPr="00F970CD">
        <w:rPr>
          <w:rFonts w:ascii="Arial" w:hAnsi="Arial" w:cs="Arial"/>
          <w:kern w:val="0"/>
          <w:sz w:val="24"/>
          <w:szCs w:val="24"/>
          <w14:ligatures w14:val="none"/>
        </w:rPr>
        <w:t>psychological impact o</w:t>
      </w:r>
      <w:r w:rsidR="00F01990">
        <w:rPr>
          <w:rFonts w:ascii="Arial" w:hAnsi="Arial" w:cs="Arial"/>
          <w:kern w:val="0"/>
          <w:sz w:val="24"/>
          <w:szCs w:val="24"/>
          <w14:ligatures w14:val="none"/>
        </w:rPr>
        <w:t>n</w:t>
      </w:r>
      <w:r w:rsidRPr="00F970CD">
        <w:rPr>
          <w:rFonts w:ascii="Arial" w:hAnsi="Arial" w:cs="Arial"/>
          <w:kern w:val="0"/>
          <w:sz w:val="24"/>
          <w:szCs w:val="24"/>
          <w14:ligatures w14:val="none"/>
        </w:rPr>
        <w:t xml:space="preserve"> the participants and their families/carers throughout the study</w:t>
      </w:r>
      <w:r w:rsidR="00647533">
        <w:rPr>
          <w:rFonts w:ascii="Arial" w:hAnsi="Arial" w:cs="Arial"/>
          <w:kern w:val="0"/>
          <w:sz w:val="24"/>
          <w:szCs w:val="24"/>
          <w14:ligatures w14:val="none"/>
        </w:rPr>
        <w:t>.</w:t>
      </w:r>
      <w:r w:rsidR="00E3103D" w:rsidRPr="00E3103D">
        <w:rPr>
          <w:rFonts w:ascii="Arial" w:hAnsi="Arial" w:cs="Arial"/>
          <w:kern w:val="0"/>
          <w:sz w:val="24"/>
          <w:szCs w:val="24"/>
          <w14:ligatures w14:val="none"/>
        </w:rPr>
        <w:t xml:space="preserve"> </w:t>
      </w:r>
    </w:p>
    <w:p w14:paraId="745F67C2" w14:textId="77777777" w:rsidR="002470D2" w:rsidRDefault="002470D2" w:rsidP="00F46D64">
      <w:pPr>
        <w:spacing w:after="0" w:line="480" w:lineRule="auto"/>
        <w:jc w:val="both"/>
        <w:rPr>
          <w:rFonts w:ascii="Arial" w:hAnsi="Arial" w:cs="Arial"/>
          <w:i/>
          <w:kern w:val="0"/>
          <w:sz w:val="24"/>
          <w:szCs w:val="24"/>
          <w14:ligatures w14:val="none"/>
        </w:rPr>
      </w:pPr>
    </w:p>
    <w:p w14:paraId="689E8C06" w14:textId="34DD0244" w:rsidR="000A5544" w:rsidRDefault="002470D2" w:rsidP="00F46D64">
      <w:pPr>
        <w:spacing w:after="0" w:line="480" w:lineRule="auto"/>
        <w:jc w:val="both"/>
        <w:rPr>
          <w:rFonts w:ascii="Arial" w:hAnsi="Arial" w:cs="Arial"/>
          <w:kern w:val="0"/>
          <w:sz w:val="24"/>
          <w:szCs w:val="24"/>
          <w14:ligatures w14:val="none"/>
        </w:rPr>
      </w:pPr>
      <w:r>
        <w:rPr>
          <w:rFonts w:ascii="Arial" w:hAnsi="Arial" w:cs="Arial"/>
          <w:i/>
          <w:kern w:val="0"/>
          <w:sz w:val="24"/>
          <w:szCs w:val="24"/>
          <w14:ligatures w14:val="none"/>
        </w:rPr>
        <w:lastRenderedPageBreak/>
        <w:t>Discussion</w:t>
      </w:r>
      <w:r w:rsidR="00647533">
        <w:rPr>
          <w:rFonts w:ascii="Arial" w:hAnsi="Arial" w:cs="Arial"/>
          <w:kern w:val="0"/>
          <w:sz w:val="24"/>
          <w:szCs w:val="24"/>
          <w14:ligatures w14:val="none"/>
        </w:rPr>
        <w:t xml:space="preserve">: The results </w:t>
      </w:r>
      <w:r w:rsidR="00E3103D">
        <w:rPr>
          <w:rFonts w:ascii="Arial" w:hAnsi="Arial" w:cs="Arial"/>
          <w:kern w:val="0"/>
          <w:sz w:val="24"/>
          <w:szCs w:val="24"/>
          <w14:ligatures w14:val="none"/>
        </w:rPr>
        <w:t xml:space="preserve">of this feasibility study </w:t>
      </w:r>
      <w:r w:rsidR="00647533">
        <w:rPr>
          <w:rFonts w:ascii="Arial" w:hAnsi="Arial" w:cs="Arial"/>
          <w:kern w:val="0"/>
          <w:sz w:val="24"/>
          <w:szCs w:val="24"/>
          <w14:ligatures w14:val="none"/>
        </w:rPr>
        <w:t>will inform the design of a</w:t>
      </w:r>
      <w:r w:rsidR="00647533" w:rsidRPr="00647533">
        <w:rPr>
          <w:rFonts w:ascii="Arial" w:hAnsi="Arial" w:cs="Arial"/>
          <w:kern w:val="0"/>
          <w:sz w:val="24"/>
          <w:szCs w:val="24"/>
          <w14:ligatures w14:val="none"/>
        </w:rPr>
        <w:t xml:space="preserve"> </w:t>
      </w:r>
      <w:r w:rsidR="00647533">
        <w:rPr>
          <w:rFonts w:ascii="Arial" w:hAnsi="Arial" w:cs="Arial"/>
          <w:kern w:val="0"/>
          <w:sz w:val="24"/>
          <w:szCs w:val="24"/>
          <w14:ligatures w14:val="none"/>
        </w:rPr>
        <w:t>prospective</w:t>
      </w:r>
      <w:r w:rsidR="00647533" w:rsidRPr="00647533">
        <w:rPr>
          <w:rFonts w:ascii="Arial" w:hAnsi="Arial" w:cs="Arial"/>
          <w:kern w:val="0"/>
          <w:sz w:val="24"/>
          <w:szCs w:val="24"/>
          <w14:ligatures w14:val="none"/>
        </w:rPr>
        <w:t xml:space="preserve"> trial to establish the efficacy and cost-effectiveness of </w:t>
      </w:r>
      <w:r w:rsidR="00647533">
        <w:rPr>
          <w:rFonts w:ascii="Arial" w:hAnsi="Arial" w:cs="Arial"/>
          <w:kern w:val="0"/>
          <w:sz w:val="24"/>
          <w:szCs w:val="24"/>
          <w14:ligatures w14:val="none"/>
        </w:rPr>
        <w:t>cancer surveillance in A-T</w:t>
      </w:r>
      <w:r>
        <w:rPr>
          <w:rFonts w:ascii="Arial" w:hAnsi="Arial" w:cs="Arial"/>
          <w:kern w:val="0"/>
          <w:sz w:val="24"/>
          <w:szCs w:val="24"/>
          <w14:ligatures w14:val="none"/>
        </w:rPr>
        <w:t>.</w:t>
      </w:r>
      <w:r w:rsidR="00E3103D">
        <w:rPr>
          <w:rFonts w:ascii="Arial" w:hAnsi="Arial" w:cs="Arial"/>
          <w:kern w:val="0"/>
          <w:sz w:val="24"/>
          <w:szCs w:val="24"/>
          <w14:ligatures w14:val="none"/>
        </w:rPr>
        <w:t xml:space="preserve">  </w:t>
      </w:r>
    </w:p>
    <w:p w14:paraId="7C0D34E6" w14:textId="77777777" w:rsidR="002470D2" w:rsidRDefault="002470D2" w:rsidP="00F46D64">
      <w:pPr>
        <w:spacing w:after="0" w:line="480" w:lineRule="auto"/>
        <w:jc w:val="both"/>
        <w:rPr>
          <w:rFonts w:ascii="Arial" w:hAnsi="Arial" w:cs="Arial"/>
          <w:i/>
          <w:kern w:val="0"/>
          <w:sz w:val="24"/>
          <w:szCs w:val="24"/>
          <w14:ligatures w14:val="none"/>
        </w:rPr>
      </w:pPr>
    </w:p>
    <w:p w14:paraId="34D64A90" w14:textId="66998034" w:rsidR="002470D2" w:rsidRDefault="002470D2" w:rsidP="00976253">
      <w:pPr>
        <w:spacing w:after="0" w:line="480" w:lineRule="auto"/>
        <w:rPr>
          <w:rFonts w:ascii="Arial" w:hAnsi="Arial" w:cs="Arial"/>
          <w:kern w:val="0"/>
          <w:sz w:val="24"/>
          <w:szCs w:val="24"/>
          <w14:ligatures w14:val="none"/>
        </w:rPr>
      </w:pPr>
      <w:r w:rsidRPr="002470D2">
        <w:rPr>
          <w:rFonts w:ascii="Arial" w:hAnsi="Arial" w:cs="Arial"/>
          <w:i/>
          <w:kern w:val="0"/>
          <w:sz w:val="24"/>
          <w:szCs w:val="24"/>
          <w14:ligatures w14:val="none"/>
        </w:rPr>
        <w:t>Trial Registration</w:t>
      </w:r>
      <w:r>
        <w:rPr>
          <w:rFonts w:ascii="Arial" w:hAnsi="Arial" w:cs="Arial"/>
          <w:kern w:val="0"/>
          <w:sz w:val="24"/>
          <w:szCs w:val="24"/>
          <w14:ligatures w14:val="none"/>
        </w:rPr>
        <w:t xml:space="preserve">: </w:t>
      </w:r>
      <w:r w:rsidR="00976253">
        <w:rPr>
          <w:rFonts w:ascii="Arial" w:hAnsi="Arial" w:cs="Arial"/>
          <w:kern w:val="0"/>
          <w:sz w:val="24"/>
          <w:szCs w:val="24"/>
          <w14:ligatures w14:val="none"/>
        </w:rPr>
        <w:t>Prospective study</w:t>
      </w:r>
      <w:r w:rsidRPr="002470D2">
        <w:rPr>
          <w:rFonts w:ascii="Arial" w:hAnsi="Arial" w:cs="Arial"/>
          <w:kern w:val="0"/>
          <w:sz w:val="24"/>
          <w:szCs w:val="24"/>
          <w14:ligatures w14:val="none"/>
        </w:rPr>
        <w:t xml:space="preserve"> regist</w:t>
      </w:r>
      <w:r w:rsidR="00976253">
        <w:rPr>
          <w:rFonts w:ascii="Arial" w:hAnsi="Arial" w:cs="Arial"/>
          <w:kern w:val="0"/>
          <w:sz w:val="24"/>
          <w:szCs w:val="24"/>
          <w14:ligatures w14:val="none"/>
        </w:rPr>
        <w:t xml:space="preserve">ration: ClinicalTrials.gov NCT05252819. Registered </w:t>
      </w:r>
      <w:r w:rsidRPr="002470D2">
        <w:rPr>
          <w:rFonts w:ascii="Arial" w:hAnsi="Arial" w:cs="Arial"/>
          <w:kern w:val="0"/>
          <w:sz w:val="24"/>
          <w:szCs w:val="24"/>
          <w14:ligatures w14:val="none"/>
        </w:rPr>
        <w:t>23</w:t>
      </w:r>
      <w:r w:rsidRPr="00976253">
        <w:rPr>
          <w:rFonts w:ascii="Arial" w:hAnsi="Arial" w:cs="Arial"/>
          <w:kern w:val="0"/>
          <w:sz w:val="24"/>
          <w:szCs w:val="24"/>
          <w:vertAlign w:val="superscript"/>
          <w14:ligatures w14:val="none"/>
        </w:rPr>
        <w:t>rd</w:t>
      </w:r>
      <w:r w:rsidRPr="002470D2">
        <w:rPr>
          <w:rFonts w:ascii="Arial" w:hAnsi="Arial" w:cs="Arial"/>
          <w:kern w:val="0"/>
          <w:sz w:val="24"/>
          <w:szCs w:val="24"/>
          <w14:ligatures w14:val="none"/>
        </w:rPr>
        <w:t xml:space="preserve"> February 2022</w:t>
      </w:r>
      <w:r w:rsidR="00976253">
        <w:rPr>
          <w:rFonts w:ascii="Arial" w:hAnsi="Arial" w:cs="Arial"/>
          <w:kern w:val="0"/>
          <w:sz w:val="24"/>
          <w:szCs w:val="24"/>
          <w14:ligatures w14:val="none"/>
        </w:rPr>
        <w:t xml:space="preserve">, </w:t>
      </w:r>
      <w:hyperlink r:id="rId9" w:history="1">
        <w:r w:rsidR="00976253" w:rsidRPr="006530D4">
          <w:rPr>
            <w:rStyle w:val="Hyperlink"/>
            <w:rFonts w:ascii="Arial" w:hAnsi="Arial" w:cs="Arial"/>
            <w:kern w:val="0"/>
            <w:sz w:val="24"/>
            <w:szCs w:val="24"/>
            <w14:ligatures w14:val="none"/>
          </w:rPr>
          <w:t>https://www.clinicaltrials.gov/study/NCT05252819</w:t>
        </w:r>
      </w:hyperlink>
      <w:r w:rsidR="00976253">
        <w:rPr>
          <w:rFonts w:ascii="Arial" w:hAnsi="Arial" w:cs="Arial"/>
          <w:kern w:val="0"/>
          <w:sz w:val="24"/>
          <w:szCs w:val="24"/>
          <w14:ligatures w14:val="none"/>
        </w:rPr>
        <w:t xml:space="preserve"> </w:t>
      </w:r>
    </w:p>
    <w:p w14:paraId="582221F2" w14:textId="77777777" w:rsidR="002470D2" w:rsidRDefault="002470D2" w:rsidP="002470D2">
      <w:pPr>
        <w:spacing w:after="0" w:line="480" w:lineRule="auto"/>
        <w:jc w:val="both"/>
        <w:rPr>
          <w:rFonts w:ascii="Arial" w:hAnsi="Arial" w:cs="Arial"/>
          <w:i/>
          <w:kern w:val="0"/>
          <w:sz w:val="24"/>
          <w:szCs w:val="24"/>
          <w14:ligatures w14:val="none"/>
        </w:rPr>
      </w:pPr>
    </w:p>
    <w:p w14:paraId="307D246C" w14:textId="63721C5A" w:rsidR="002470D2" w:rsidRDefault="002470D2" w:rsidP="00976253">
      <w:pPr>
        <w:spacing w:after="0" w:line="480" w:lineRule="auto"/>
        <w:jc w:val="center"/>
        <w:rPr>
          <w:rFonts w:ascii="Arial" w:hAnsi="Arial" w:cs="Arial"/>
          <w:i/>
          <w:kern w:val="0"/>
          <w:sz w:val="24"/>
          <w:szCs w:val="24"/>
          <w14:ligatures w14:val="none"/>
        </w:rPr>
      </w:pPr>
    </w:p>
    <w:p w14:paraId="5E5EF5EC" w14:textId="77777777" w:rsidR="002470D2" w:rsidRDefault="002470D2" w:rsidP="000A5544">
      <w:pPr>
        <w:spacing w:after="0" w:line="480" w:lineRule="auto"/>
        <w:jc w:val="both"/>
        <w:rPr>
          <w:rFonts w:ascii="Arial" w:hAnsi="Arial" w:cs="Arial"/>
          <w:i/>
          <w:kern w:val="0"/>
          <w:sz w:val="24"/>
          <w:szCs w:val="24"/>
          <w14:ligatures w14:val="none"/>
        </w:rPr>
      </w:pPr>
    </w:p>
    <w:p w14:paraId="123710A9" w14:textId="1149674F" w:rsidR="00C14E38" w:rsidRPr="00F970CD" w:rsidRDefault="00F46D64" w:rsidP="000A5544">
      <w:pPr>
        <w:spacing w:after="0" w:line="480" w:lineRule="auto"/>
        <w:jc w:val="both"/>
        <w:rPr>
          <w:rFonts w:ascii="Arial" w:hAnsi="Arial" w:cs="Arial"/>
          <w:kern w:val="0"/>
          <w:sz w:val="28"/>
          <w:szCs w:val="28"/>
          <w14:ligatures w14:val="none"/>
        </w:rPr>
      </w:pPr>
      <w:r w:rsidRPr="000A5544">
        <w:rPr>
          <w:rFonts w:ascii="Arial" w:hAnsi="Arial" w:cs="Arial"/>
          <w:i/>
          <w:kern w:val="0"/>
          <w:sz w:val="24"/>
          <w:szCs w:val="24"/>
          <w14:ligatures w14:val="none"/>
        </w:rPr>
        <w:t>Keywords:</w:t>
      </w:r>
      <w:r w:rsidRPr="00F970CD">
        <w:rPr>
          <w:rFonts w:ascii="Arial" w:hAnsi="Arial" w:cs="Arial"/>
          <w:kern w:val="0"/>
          <w:sz w:val="24"/>
          <w:szCs w:val="24"/>
          <w14:ligatures w14:val="none"/>
        </w:rPr>
        <w:t xml:space="preserve"> Ataxia-Telangiectasia, cancer predisposition</w:t>
      </w:r>
      <w:r w:rsidR="002470D2">
        <w:rPr>
          <w:rFonts w:ascii="Arial" w:hAnsi="Arial" w:cs="Arial"/>
          <w:kern w:val="0"/>
          <w:sz w:val="24"/>
          <w:szCs w:val="24"/>
          <w14:ligatures w14:val="none"/>
        </w:rPr>
        <w:t xml:space="preserve"> syndrome</w:t>
      </w:r>
      <w:r w:rsidRPr="00F970CD">
        <w:rPr>
          <w:rFonts w:ascii="Arial" w:hAnsi="Arial" w:cs="Arial"/>
          <w:kern w:val="0"/>
          <w:sz w:val="24"/>
          <w:szCs w:val="24"/>
          <w14:ligatures w14:val="none"/>
        </w:rPr>
        <w:t>, life-limiting disease, psychosocial impact, mixed methods research, Whol</w:t>
      </w:r>
      <w:r w:rsidR="000A5544">
        <w:rPr>
          <w:rFonts w:ascii="Arial" w:hAnsi="Arial" w:cs="Arial"/>
          <w:kern w:val="0"/>
          <w:sz w:val="24"/>
          <w:szCs w:val="24"/>
          <w14:ligatures w14:val="none"/>
        </w:rPr>
        <w:t>e-body MRI, cancer surveillance</w:t>
      </w:r>
      <w:r w:rsidR="00C14E38" w:rsidRPr="00F970CD">
        <w:rPr>
          <w:rFonts w:ascii="Arial" w:hAnsi="Arial" w:cs="Arial"/>
          <w:kern w:val="0"/>
          <w:sz w:val="28"/>
          <w:szCs w:val="28"/>
          <w14:ligatures w14:val="none"/>
        </w:rPr>
        <w:br w:type="page"/>
      </w:r>
    </w:p>
    <w:p w14:paraId="6586D9CA" w14:textId="60FC941B" w:rsidR="00C14E38" w:rsidRPr="00F970CD" w:rsidRDefault="00C70CB8" w:rsidP="00C70CB8">
      <w:pPr>
        <w:spacing w:after="0" w:line="480" w:lineRule="auto"/>
        <w:contextualSpacing/>
        <w:jc w:val="both"/>
        <w:rPr>
          <w:rFonts w:ascii="Arial" w:hAnsi="Arial" w:cs="Arial"/>
          <w:kern w:val="0"/>
          <w:sz w:val="28"/>
          <w:szCs w:val="28"/>
          <w14:ligatures w14:val="none"/>
        </w:rPr>
      </w:pPr>
      <w:r>
        <w:rPr>
          <w:rFonts w:ascii="Arial" w:hAnsi="Arial" w:cs="Arial"/>
          <w:kern w:val="0"/>
          <w:sz w:val="28"/>
          <w:szCs w:val="28"/>
          <w14:ligatures w14:val="none"/>
        </w:rPr>
        <w:lastRenderedPageBreak/>
        <w:t>Background</w:t>
      </w:r>
    </w:p>
    <w:p w14:paraId="015E15A5" w14:textId="6E6453FC" w:rsidR="00C14E38" w:rsidRPr="00F970CD" w:rsidRDefault="00C14E38" w:rsidP="00C14E38">
      <w:pPr>
        <w:spacing w:after="0" w:line="480" w:lineRule="auto"/>
        <w:jc w:val="both"/>
        <w:rPr>
          <w:rFonts w:ascii="Arial" w:hAnsi="Arial" w:cs="Arial"/>
          <w:kern w:val="0"/>
          <w14:ligatures w14:val="none"/>
        </w:rPr>
      </w:pPr>
      <w:r w:rsidRPr="00F970CD">
        <w:rPr>
          <w:rFonts w:ascii="Arial" w:hAnsi="Arial" w:cs="Arial"/>
          <w:kern w:val="0"/>
          <w14:ligatures w14:val="none"/>
        </w:rPr>
        <w:t xml:space="preserve">Ataxia Telangiectasia (A-T) is an autosomal recessive condition caused by mutations in the </w:t>
      </w:r>
      <w:r w:rsidR="00935CD9" w:rsidRPr="00F970CD">
        <w:rPr>
          <w:rFonts w:ascii="Arial" w:hAnsi="Arial" w:cs="Arial"/>
          <w:kern w:val="0"/>
          <w14:ligatures w14:val="none"/>
        </w:rPr>
        <w:t xml:space="preserve">ataxia telangiectasia mutated </w:t>
      </w:r>
      <w:r w:rsidR="00935CD9">
        <w:rPr>
          <w:rFonts w:ascii="Arial" w:hAnsi="Arial" w:cs="Arial"/>
          <w:kern w:val="0"/>
          <w14:ligatures w14:val="none"/>
        </w:rPr>
        <w:t>(</w:t>
      </w:r>
      <w:r w:rsidR="00935CD9" w:rsidRPr="000A5544">
        <w:rPr>
          <w:rFonts w:ascii="Arial" w:hAnsi="Arial" w:cs="Arial"/>
          <w:i/>
          <w:kern w:val="0"/>
          <w14:ligatures w14:val="none"/>
        </w:rPr>
        <w:t>ATM</w:t>
      </w:r>
      <w:r w:rsidR="000A5544">
        <w:rPr>
          <w:rFonts w:ascii="Arial" w:hAnsi="Arial" w:cs="Arial"/>
          <w:kern w:val="0"/>
          <w14:ligatures w14:val="none"/>
        </w:rPr>
        <w:t>)</w:t>
      </w:r>
      <w:r w:rsidR="00935CD9">
        <w:rPr>
          <w:rFonts w:ascii="Arial" w:hAnsi="Arial" w:cs="Arial"/>
          <w:kern w:val="0"/>
          <w14:ligatures w14:val="none"/>
        </w:rPr>
        <w:t xml:space="preserve"> </w:t>
      </w:r>
      <w:r w:rsidRPr="00F970CD">
        <w:rPr>
          <w:rFonts w:ascii="Arial" w:hAnsi="Arial" w:cs="Arial"/>
          <w:kern w:val="0"/>
          <w14:ligatures w14:val="none"/>
        </w:rPr>
        <w:t>which is associated with cerebellar neurodegeneration, immunodeficiency and respiratory disease</w:t>
      </w:r>
      <w:r w:rsidRPr="00F970CD">
        <w:rPr>
          <w:rFonts w:ascii="Arial" w:hAnsi="Arial" w:cs="Arial"/>
          <w:kern w:val="0"/>
          <w14:ligatures w14:val="none"/>
        </w:rPr>
        <w:fldChar w:fldCharType="begin"/>
      </w:r>
      <w:r>
        <w:rPr>
          <w:rFonts w:ascii="Arial" w:hAnsi="Arial" w:cs="Arial"/>
          <w:kern w:val="0"/>
          <w14:ligatures w14:val="none"/>
        </w:rPr>
        <w:instrText xml:space="preserve"> ADDIN ZOTERO_ITEM CSL_CITATION {"citationID":"w0vEcOdx","properties":{"formattedCitation":"\\super 1\\uc0\\u8211{}3\\nosupersub{}","plainCitation":"1–3","noteIndex":0},"citationItems":[{"id":66,"uris":["http://zotero.org/users/6992411/items/Z67Y6AEP"],"itemData":{"id":66,"type":"article-journal","abstract":"Definition of the disease\nAtaxia telangiectasia (A-T) is an autosomal recessive disorder primarily characterized by cerebellar degeneration, telangiectasia, immunodeficiency, cancer susceptibility and radiation sensitivity. A-T is often referred to as a genome instability or DNA damage response syndrome.\n\nEpidemiology\nThe world-wide prevalence of A-T is estimated to be between 1 in 40,000 and 1 in 100,000 live births.\n\nClinical description\nA-T is a complex disorder with substantial variability in the severity of features between affected individuals, and at different ages. Neurological symptoms most often first appear in early childhood when children begin to sit or walk. They have immunological abnormalities including immunoglobulin and antibody deficiencies and lymphopenia. People with A-T have an increased predisposition for cancers, particularly of lymphoid origin. Pulmonary disease and problems with feeding, swallowing and nutrition are common, and there also may be dermatological and endocrine manifestations.\n\nEtiology\nA-T is caused by mutations in the ATM (Ataxia Telangiectasia, Mutated) gene which encodes a protein of the same name. The primary role of the ATM protein is coordination of cellular signaling pathways in response to DNA double strand breaks, oxidative stress and other genotoxic stress.\n\nDiagnosis\nThe diagnosis of A-T is usually suspected by the combination of neurologic clinical features (ataxia, abnormal control of eye movement, and postural instability) with one or more of the following which may vary in their appearance: telangiectasia, frequent sinopulmonary infections and specific laboratory abnormalities (e.g. IgA deficiency, lymphopenia especially affecting T lymphocytes and increased alpha-fetoprotein levels). Because certain neurological features may arise later, a diagnosis of A-T should be carefully considered for any ataxic child with an otherwise elusive diagnosis. A diagnosis of A-T can be confirmed by the finding of an absence or deficiency of the ATM protein or its kinase activity in cultured cell lines, and/or identification of the pathological mutations in the ATM gene.\n\nDifferential diagnosis\nThere are several other neurologic and rare disorders that physicians must consider when diagnosing A-T and that can be confused with A-T. Differentiation of these various disorders is often possible with clinical features and selected laboratory tests, including gene sequencing.\n\nAntenatal diagnosis\nAntenatal diagnosis can be performed if the pathological ATM mutations in that family have been identified in an affected child. In the absence of identifying mutations, antenatal diagnosis can be made by haplotype analysis if an unambiguous diagnosis of the affected child has been made through clinical and laboratory findings and/or ATM protein analysis.\n\nGenetic counseling\nGenetic counseling can help family members of a patient with A-T understand when genetic testing for A-T is feasible, and how the test results should be interpreted.\n\nManagement and prognosis\nTreatment of the neurologic problems associated with A-T is symptomatic and supportive, as there are no treatments known to slow or stop the neurodegeneration. However, other manifestations of A-T, e.g. immunodeficiency, pulmonary disease, failure to thrive and diabetes can be treated effectively.","container-title":"Orphanet Journal of Rare Diseases","DOI":"10.1186/s13023-016-0543-7","ISSN":"1750-1172","journalAbbreviation":"Orphanet J Rare Dis","note":"PMID: 27884168\nPMCID: PMC5123280","source":"PubMed Central","title":"Ataxia telangiectasia: a review","title-short":"Ataxia telangiectasia","URL":"https://www.ncbi.nlm.nih.gov/pmc/articles/PMC5123280/","volume":"11","author":[{"family":"Rothblum-Oviatt","given":"Cynthia"},{"family":"Wright","given":"Jennifer"},{"family":"Lefton-Greif","given":"Maureen A."},{"family":"McGrath-Morrow","given":"Sharon A."},{"family":"Crawford","given":"Thomas O."},{"family":"Lederman","given":"Howard M."}],"accessed":{"date-parts":[["2020",11,24]]},"issued":{"date-parts":[["2016",11,25]]}}},{"id":848,"uris":["http://zotero.org/users/6992411/items/RFWEFYX7"],"itemData":{"id":848,"type":"article-journal","abstract":"Essentials of Cerebellum and Cerebellar Disorders","container-title":"Essentials of Cerebellum and Cerebellar Disorders","language":"en","source":"www.academia.edu","title":"Essentials of Cerebellum and Cerebellar Disorders","URL":"https://www.academia.edu/43774280/Essentials_of_Cerebellum_and_Cerebellar_Disorders","author":[{"family":"Bus","given":"An"}],"accessed":{"date-parts":[["2023",7,13]]}}},{"id":561,"uris":["http://zotero.org/users/6992411/items/AMJUEE4F"],"itemData":{"id":561,"type":"chapter","abstract":"Classic ataxia-telangiectasia (A-T) is characterized by progressive cerebellar ataxia beginning between ages one and four years, oculomotor apraxia, choreoathetosis, telangiectasias of the conjunctivae, immunodeficiency, frequent infections, and an increased risk for malignancy, particularly leukemia and lymphoma. Individuals with A-T are unusually sensitive to ionizing radiation. Non-classic forms of A-T have included adult-onset A-T and A-T with early-onset dystonia., The diagnosis of A-T is suspected based on suggestive clinical and preliminary laboratory findings and – in some instances – neuroimaging and family history. The diagnosis is established in a proband either by molecular genetic testing to document the presence of biallelic (homozygous or compound heterozygous) ATM pathogenic variants or (when available) by immunoblotting to test for absent or reduced ATM protein., \nTreatment of manifestations:\n Neurologic: supportive therapy and medications (when possible) as well as early and continued physical therapy to reduce the risk for contractures and scoliosis. Immunodeficiency: IVIG replacement therapy as needed for (a) frequent and severe infections and (b) low IgG levels. Pulmonary: multidisciplinary management that emphasizes monitoring of recurrent infection, pulmonary function, swallowing, nutrition, scoliosis, and immune function. Cancer: because of the increased sensitivity of A-T cells, use of ionizing radiation and some chemotherapeutic agents requires careful monitoring. Prevention of secondary complications: Gastrostomy tube feedings are occasionally needed to prevent pulmonary and nutritional complications of dysphagia. Attention to potential risks of anesthesia including impaired swallowing, increased risk of aspiration, reduced pulmonary function, and infection. Surveillance: In those with severe recurrent infections or undergoing immunomodulatory therapy: monitoring of pulmonary function and other signs of pulmonary disease and early signs of malignancy (e.g., weight loss, bruising, localized pain or swelling)., A-T is inherited in an autosomal recessive manner. At conception, the sibs of an affected individual have a 25% chance of being affected, a 50% chance of being asymptomatic carriers, and a 25% chance of being unaffected and not carriers. ATM heterozygotes (carriers) are at increased risk of developing cancer. Once the ATM pathogenic variants have been identified in an affected family member, carrier testing for at-risk relatives, prenatal testing for a pregnancy at increased risk, and preimplantation genetic testing are possible.","call-number":"NBK26468","container-title":"GeneReviews®","event-place":"Seattle (WA)","language":"eng","license":"Copyright © 1993-2022, University of Washington, Seattle. GeneReviews is a registered trademark of the University of Washington, Seattle. All rights reserved.","note":"PMID: 20301790","publisher":"University of Washington, Seattle","publisher-place":"Seattle (WA)","source":"PubMed","title":"Ataxia-Telangiectasia","URL":"http://www.ncbi.nlm.nih.gov/books/NBK26468/","author":[{"family":"Gatti","given":"Richard"},{"family":"Perlman","given":"Susan"}],"editor":[{"family":"Adam","given":"Margaret P."},{"family":"Ardinger","given":"Holly H."},{"family":"Pagon","given":"Roberta A."},{"family":"Wallace","given":"Stephanie E."},{"family":"Bean","given":"Lora JH"},{"family":"Gripp","given":"Karen W."},{"family":"Mirzaa","given":"Ghayda M."},{"family":"Amemiya","given":"Anne"}],"accessed":{"date-parts":[["2022",4,8]]},"issued":{"date-parts":[["1993"]]}}}],"schema":"https://github.com/citation-style-language/schema/raw/master/csl-citation.json"} </w:instrText>
      </w:r>
      <w:r w:rsidRPr="00F970CD">
        <w:rPr>
          <w:rFonts w:ascii="Arial" w:hAnsi="Arial" w:cs="Arial"/>
          <w:kern w:val="0"/>
          <w14:ligatures w14:val="none"/>
        </w:rPr>
        <w:fldChar w:fldCharType="separate"/>
      </w:r>
      <w:r w:rsidRPr="00F970CD">
        <w:rPr>
          <w:rFonts w:ascii="Arial" w:hAnsi="Arial" w:cs="Arial"/>
          <w:kern w:val="0"/>
          <w:szCs w:val="24"/>
          <w:vertAlign w:val="superscript"/>
        </w:rPr>
        <w:t>1–3</w:t>
      </w:r>
      <w:r w:rsidRPr="00F970CD">
        <w:rPr>
          <w:rFonts w:ascii="Arial" w:hAnsi="Arial" w:cs="Arial"/>
          <w:kern w:val="0"/>
          <w14:ligatures w14:val="none"/>
        </w:rPr>
        <w:fldChar w:fldCharType="end"/>
      </w:r>
      <w:r w:rsidRPr="00F970CD">
        <w:rPr>
          <w:rFonts w:ascii="Arial" w:hAnsi="Arial" w:cs="Arial"/>
          <w:kern w:val="0"/>
          <w14:ligatures w14:val="none"/>
        </w:rPr>
        <w:t xml:space="preserve">. The </w:t>
      </w:r>
      <w:r w:rsidRPr="00F970CD">
        <w:rPr>
          <w:rFonts w:ascii="Arial" w:hAnsi="Arial" w:cs="Arial"/>
          <w:i/>
          <w:iCs/>
          <w:kern w:val="0"/>
          <w14:ligatures w14:val="none"/>
        </w:rPr>
        <w:t>ATM</w:t>
      </w:r>
      <w:r w:rsidRPr="00F970CD">
        <w:rPr>
          <w:rFonts w:ascii="Arial" w:hAnsi="Arial" w:cs="Arial"/>
          <w:kern w:val="0"/>
          <w14:ligatures w14:val="none"/>
        </w:rPr>
        <w:t xml:space="preserve"> </w:t>
      </w:r>
      <w:r w:rsidR="000A5544" w:rsidRPr="00F970CD">
        <w:rPr>
          <w:rFonts w:ascii="Arial" w:hAnsi="Arial" w:cs="Arial"/>
          <w:kern w:val="0"/>
          <w14:ligatures w14:val="none"/>
        </w:rPr>
        <w:t xml:space="preserve">gene </w:t>
      </w:r>
      <w:r w:rsidR="000A5544">
        <w:rPr>
          <w:rFonts w:ascii="Arial" w:hAnsi="Arial" w:cs="Arial"/>
          <w:kern w:val="0"/>
          <w14:ligatures w14:val="none"/>
        </w:rPr>
        <w:t>product (</w:t>
      </w:r>
      <w:r w:rsidR="000A5544" w:rsidRPr="000A5544">
        <w:rPr>
          <w:rFonts w:ascii="Arial" w:hAnsi="Arial" w:cs="Arial"/>
          <w:iCs/>
          <w:kern w:val="0"/>
          <w14:ligatures w14:val="none"/>
        </w:rPr>
        <w:t>ATM</w:t>
      </w:r>
      <w:r w:rsidR="000A5544" w:rsidRPr="00F970CD">
        <w:rPr>
          <w:rFonts w:ascii="Arial" w:hAnsi="Arial" w:cs="Arial"/>
          <w:kern w:val="0"/>
          <w14:ligatures w14:val="none"/>
        </w:rPr>
        <w:t xml:space="preserve"> protein kinase</w:t>
      </w:r>
      <w:r w:rsidR="000A5544">
        <w:rPr>
          <w:rFonts w:ascii="Arial" w:hAnsi="Arial" w:cs="Arial"/>
          <w:kern w:val="0"/>
          <w14:ligatures w14:val="none"/>
        </w:rPr>
        <w:t>)</w:t>
      </w:r>
      <w:r w:rsidRPr="00F970CD">
        <w:rPr>
          <w:rFonts w:ascii="Arial" w:hAnsi="Arial" w:cs="Arial"/>
          <w:kern w:val="0"/>
          <w14:ligatures w14:val="none"/>
        </w:rPr>
        <w:t xml:space="preserve"> has roles in double-stranded DNA repair and thus </w:t>
      </w:r>
      <w:r w:rsidRPr="00F970CD">
        <w:rPr>
          <w:rFonts w:ascii="Arial" w:hAnsi="Arial" w:cs="Arial"/>
          <w:i/>
          <w:iCs/>
          <w:kern w:val="0"/>
          <w14:ligatures w14:val="none"/>
        </w:rPr>
        <w:t>ATM</w:t>
      </w:r>
      <w:r w:rsidRPr="00F970CD">
        <w:rPr>
          <w:rFonts w:ascii="Arial" w:hAnsi="Arial" w:cs="Arial"/>
          <w:kern w:val="0"/>
          <w14:ligatures w14:val="none"/>
        </w:rPr>
        <w:t xml:space="preserve"> variants lead to genomic instability with increased sensitivity to ionising radiation and elevated cancer risk (22-24% cumulative incidence up to age 20 years)</w:t>
      </w:r>
      <w:r w:rsidRPr="00F970CD">
        <w:rPr>
          <w:rFonts w:ascii="Arial" w:hAnsi="Arial" w:cs="Arial"/>
          <w:kern w:val="0"/>
          <w14:ligatures w14:val="none"/>
        </w:rPr>
        <w:fldChar w:fldCharType="begin"/>
      </w:r>
      <w:r>
        <w:rPr>
          <w:rFonts w:ascii="Arial" w:hAnsi="Arial" w:cs="Arial"/>
          <w:kern w:val="0"/>
          <w14:ligatures w14:val="none"/>
        </w:rPr>
        <w:instrText xml:space="preserve"> ADDIN ZOTERO_ITEM CSL_CITATION {"citationID":"9cMb8fI1","properties":{"formattedCitation":"\\super 1,3\\uc0\\u8211{}5\\nosupersub{}","plainCitation":"1,3–5","noteIndex":0},"citationItems":[{"id":66,"uris":["http://zotero.org/users/6992411/items/Z67Y6AEP"],"itemData":{"id":66,"type":"article-journal","abstract":"Definition of the disease\nAtaxia telangiectasia (A-T) is an autosomal recessive disorder primarily characterized by cerebellar degeneration, telangiectasia, immunodeficiency, cancer susceptibility and radiation sensitivity. A-T is often referred to as a genome instability or DNA damage response syndrome.\n\nEpidemiology\nThe world-wide prevalence of A-T is estimated to be between 1 in 40,000 and 1 in 100,000 live births.\n\nClinical description\nA-T is a complex disorder with substantial variability in the severity of features between affected individuals, and at different ages. Neurological symptoms most often first appear in early childhood when children begin to sit or walk. They have immunological abnormalities including immunoglobulin and antibody deficiencies and lymphopenia. People with A-T have an increased predisposition for cancers, particularly of lymphoid origin. Pulmonary disease and problems with feeding, swallowing and nutrition are common, and there also may be dermatological and endocrine manifestations.\n\nEtiology\nA-T is caused by mutations in the ATM (Ataxia Telangiectasia, Mutated) gene which encodes a protein of the same name. The primary role of the ATM protein is coordination of cellular signaling pathways in response to DNA double strand breaks, oxidative stress and other genotoxic stress.\n\nDiagnosis\nThe diagnosis of A-T is usually suspected by the combination of neurologic clinical features (ataxia, abnormal control of eye movement, and postural instability) with one or more of the following which may vary in their appearance: telangiectasia, frequent sinopulmonary infections and specific laboratory abnormalities (e.g. IgA deficiency, lymphopenia especially affecting T lymphocytes and increased alpha-fetoprotein levels). Because certain neurological features may arise later, a diagnosis of A-T should be carefully considered for any ataxic child with an otherwise elusive diagnosis. A diagnosis of A-T can be confirmed by the finding of an absence or deficiency of the ATM protein or its kinase activity in cultured cell lines, and/or identification of the pathological mutations in the ATM gene.\n\nDifferential diagnosis\nThere are several other neurologic and rare disorders that physicians must consider when diagnosing A-T and that can be confused with A-T. Differentiation of these various disorders is often possible with clinical features and selected laboratory tests, including gene sequencing.\n\nAntenatal diagnosis\nAntenatal diagnosis can be performed if the pathological ATM mutations in that family have been identified in an affected child. In the absence of identifying mutations, antenatal diagnosis can be made by haplotype analysis if an unambiguous diagnosis of the affected child has been made through clinical and laboratory findings and/or ATM protein analysis.\n\nGenetic counseling\nGenetic counseling can help family members of a patient with A-T understand when genetic testing for A-T is feasible, and how the test results should be interpreted.\n\nManagement and prognosis\nTreatment of the neurologic problems associated with A-T is symptomatic and supportive, as there are no treatments known to slow or stop the neurodegeneration. However, other manifestations of A-T, e.g. immunodeficiency, pulmonary disease, failure to thrive and diabetes can be treated effectively.","container-title":"Orphanet Journal of Rare Diseases","DOI":"10.1186/s13023-016-0543-7","ISSN":"1750-1172","journalAbbreviation":"Orphanet J Rare Dis","note":"PMID: 27884168\nPMCID: PMC5123280","source":"PubMed Central","title":"Ataxia telangiectasia: a review","title-short":"Ataxia telangiectasia","URL":"https://www.ncbi.nlm.nih.gov/pmc/articles/PMC5123280/","volume":"11","author":[{"family":"Rothblum-Oviatt","given":"Cynthia"},{"family":"Wright","given":"Jennifer"},{"family":"Lefton-Greif","given":"Maureen A."},{"family":"McGrath-Morrow","given":"Sharon A."},{"family":"Crawford","given":"Thomas O."},{"family":"Lederman","given":"Howard M."}],"accessed":{"date-parts":[["2020",11,24]]},"issued":{"date-parts":[["2016",11,25]]}}},{"id":58,"uris":["http://zotero.org/users/6992411/items/4M4V2T3L"],"itemData":{"id":58,"type":"article-journal","abstract":"INTRODUCTION: Ataxia-telangiectasia (A-T) is a rare autosomal recessive syndrome characterized by progressive cerebellar ataxia, oculocutaneous telangiectasia, variable immunodeficiency, radiosensitivity, and cancer predisposition. Mutations cause A-T in the ataxia telangiectasia mutated (ATM) gene encoding a serine/threonine-protein kinase.\nAREAS COVERED: The authors reviewed the literature on PubMed, Web of Science, and Scopus databases to collect comprehensive data related to A-T. This review aims to discuss various update aspects of A-T, including epidemiology, pathogenesis, clinical manifestations, diagnosis, prognosis, and management.\nEXPERT OPINION: A-T as a congenital disorder has phenotypic heterogeneity, and the severity of symptoms in different patients depends on the severity of mutations. This review provides a comprehensive overview of A-T, although some relevant questions about pathogenesis remain unanswered, probably owing to the phenotypic heterogeneity of this monogenic disorder. The presence of various clinical and immunologic manifestations in A-T indicates that the identification of the role of defective ATM in phenotype can be helpful in the better management and treatment of patients in the future.","container-title":"Expert Review of Clinical Immunology","DOI":"10.1080/1744666X.2020.1810570","ISSN":"1744-8409","journalAbbreviation":"Expert Rev Clin Immunol","language":"eng","note":"PMID: 32791865","page":"1-13","source":"PubMed","title":"Ataxia-telangiectasia: epidemiology, pathogenesis, clinical phenotype, diagnosis, prognosis and management","title-short":"Ataxia-telangiectasia","author":[{"family":"Amirifar","given":"Parisa"},{"family":"Ranjouri","given":"Mohammad Reza"},{"family":"Lavin","given":"Martin"},{"family":"Abolhassani","given":"Hassan"},{"family":"Yazdani","given":"Reza"},{"family":"Aghamohammadi","given":"Asghar"}],"issued":{"date-parts":[["2020",10,15]]}}},{"id":561,"uris":["http://zotero.org/users/6992411/items/AMJUEE4F"],"itemData":{"id":561,"type":"chapter","abstract":"Classic ataxia-telangiectasia (A-T) is characterized by progressive cerebellar ataxia beginning between ages one and four years, oculomotor apraxia, choreoathetosis, telangiectasias of the conjunctivae, immunodeficiency, frequent infections, and an increased risk for malignancy, particularly leukemia and lymphoma. Individuals with A-T are unusually sensitive to ionizing radiation. Non-classic forms of A-T have included adult-onset A-T and A-T with early-onset dystonia., The diagnosis of A-T is suspected based on suggestive clinical and preliminary laboratory findings and – in some instances – neuroimaging and family history. The diagnosis is established in a proband either by molecular genetic testing to document the presence of biallelic (homozygous or compound heterozygous) ATM pathogenic variants or (when available) by immunoblotting to test for absent or reduced ATM protein., \nTreatment of manifestations:\n Neurologic: supportive therapy and medications (when possible) as well as early and continued physical therapy to reduce the risk for contractures and scoliosis. Immunodeficiency: IVIG replacement therapy as needed for (a) frequent and severe infections and (b) low IgG levels. Pulmonary: multidisciplinary management that emphasizes monitoring of recurrent infection, pulmonary function, swallowing, nutrition, scoliosis, and immune function. Cancer: because of the increased sensitivity of A-T cells, use of ionizing radiation and some chemotherapeutic agents requires careful monitoring. Prevention of secondary complications: Gastrostomy tube feedings are occasionally needed to prevent pulmonary and nutritional complications of dysphagia. Attention to potential risks of anesthesia including impaired swallowing, increased risk of aspiration, reduced pulmonary function, and infection. Surveillance: In those with severe recurrent infections or undergoing immunomodulatory therapy: monitoring of pulmonary function and other signs of pulmonary disease and early signs of malignancy (e.g., weight loss, bruising, localized pain or swelling)., A-T is inherited in an autosomal recessive manner. At conception, the sibs of an affected individual have a 25% chance of being affected, a 50% chance of being asymptomatic carriers, and a 25% chance of being unaffected and not carriers. ATM heterozygotes (carriers) are at increased risk of developing cancer. Once the ATM pathogenic variants have been identified in an affected family member, carrier testing for at-risk relatives, prenatal testing for a pregnancy at increased risk, and preimplantation genetic testing are possible.","call-number":"NBK26468","container-title":"GeneReviews®","event-place":"Seattle (WA)","language":"eng","license":"Copyright © 1993-2022, University of Washington, Seattle. GeneReviews is a registered trademark of the University of Washington, Seattle. All rights reserved.","note":"PMID: 20301790","publisher":"University of Washington, Seattle","publisher-place":"Seattle (WA)","source":"PubMed","title":"Ataxia-Telangiectasia","URL":"http://www.ncbi.nlm.nih.gov/books/NBK26468/","author":[{"family":"Gatti","given":"Richard"},{"family":"Perlman","given":"Susan"}],"editor":[{"family":"Adam","given":"Margaret P."},{"family":"Ardinger","given":"Holly H."},{"family":"Pagon","given":"Roberta A."},{"family":"Wallace","given":"Stephanie E."},{"family":"Bean","given":"Lora JH"},{"family":"Gripp","given":"Karen W."},{"family":"Mirzaa","given":"Ghayda M."},{"family":"Amemiya","given":"Anne"}],"accessed":{"date-parts":[["2022",4,8]]},"issued":{"date-parts":[["1993"]]}}},{"id":39,"uris":["http://zotero.org/users/6992411/items/DNJMJG32"],"itemData":{"id":39,"type":"article-journal","abstract":"DNA repair syndromes are heterogeneous disorders caused by pathogenic variants in genes encoding proteins key in DNA replication and/or the cellular response to DNA damage. The majority of these syndromes are inherited in an autosomal-recessive manner, but autosomal-dominant and X-linked recessive disorders also exist. The clinical features of patients with DNA repair syndromes are highly varied and dependent on the underlying genetic cause. Notably, all patients have elevated risks of syndrome-associated cancers, and many of these cancers present in childhood. Although it is clear that the risk of cancer is increased, there are limited data defining the true incidence of cancer and almost no evidence-based approaches to cancer surveillance in patients with DNA repair disorders. This article is the product of the October 2016 AACR Childhood Cancer Predisposition Workshop, which brought together experts from around the world to discuss and develop cancer surveillance guidelines for children with cancer-prone disorders. Herein, we focus on the more common of the rare DNA repair disorders: ataxia telangiectasia, Bloom syndrome, Fanconi anemia, dyskeratosis congenita, Nijmegen breakage syndrome, Rothmund-Thomson syndrome, and Xeroderma pigmentosum. Dedicated syndrome registries and a combination of basic science and clinical research have led to important insights into the underlying biology of these disorders. Given the rarity of these disorders, it is recommended that centralized centers of excellence be involved directly or through consultation in caring for patients with heritable DNA repair syndromes. Clin Cancer Res; 23(11); e23-e31. ©2017 AACRSee all articles in the online-only CCR Pediatric Oncology Series.","container-title":"Clinical Cancer Research: An Official Journal of the American Association for Cancer Research","DOI":"10.1158/1078-0432.CCR-17-0465","ISSN":"1078-0432","issue":"11","journalAbbreviation":"Clin Cancer Res","language":"eng","note":"PMID: 28572264\nPMCID: PMC5697784","page":"e23-e31","source":"PubMed","title":"Recommendations for Childhood Cancer Screening and Surveillance in DNA Repair Disorders","volume":"23","author":[{"family":"Walsh","given":"Michael F."},{"family":"Chang","given":"Vivian Y."},{"family":"Kohlmann","given":"Wendy K."},{"family":"Scott","given":"Hamish S."},{"family":"Cunniff","given":"Christopher"},{"family":"Bourdeaut","given":"Franck"},{"family":"Molenaar","given":"Jan J."},{"family":"Porter","given":"Christopher C."},{"family":"Sandlund","given":"John T."},{"family":"Plon","given":"Sharon E."},{"family":"Wang","given":"Lisa L."},{"family":"Savage","given":"Sharon A."}],"issued":{"date-parts":[["2017",6,1]]}}}],"schema":"https://github.com/citation-style-language/schema/raw/master/csl-citation.json"} </w:instrText>
      </w:r>
      <w:r w:rsidRPr="00F970CD">
        <w:rPr>
          <w:rFonts w:ascii="Arial" w:hAnsi="Arial" w:cs="Arial"/>
          <w:kern w:val="0"/>
          <w14:ligatures w14:val="none"/>
        </w:rPr>
        <w:fldChar w:fldCharType="separate"/>
      </w:r>
      <w:r w:rsidRPr="00F970CD">
        <w:rPr>
          <w:rFonts w:ascii="Arial" w:hAnsi="Arial" w:cs="Arial"/>
          <w:kern w:val="0"/>
          <w:szCs w:val="24"/>
          <w:vertAlign w:val="superscript"/>
        </w:rPr>
        <w:t>1,3–5</w:t>
      </w:r>
      <w:r w:rsidRPr="00F970CD">
        <w:rPr>
          <w:rFonts w:ascii="Arial" w:hAnsi="Arial" w:cs="Arial"/>
          <w:kern w:val="0"/>
          <w14:ligatures w14:val="none"/>
        </w:rPr>
        <w:fldChar w:fldCharType="end"/>
      </w:r>
      <w:r w:rsidR="000A5544">
        <w:rPr>
          <w:rFonts w:ascii="Arial" w:hAnsi="Arial" w:cs="Arial"/>
          <w:kern w:val="0"/>
          <w14:ligatures w14:val="none"/>
        </w:rPr>
        <w:t>. T</w:t>
      </w:r>
      <w:r w:rsidRPr="00F970CD">
        <w:rPr>
          <w:rFonts w:ascii="Arial" w:hAnsi="Arial" w:cs="Arial"/>
          <w:kern w:val="0"/>
          <w14:ligatures w14:val="none"/>
        </w:rPr>
        <w:t>he leading causes of death in A-T are cancer and lung disease</w:t>
      </w:r>
      <w:r w:rsidRPr="00F970CD">
        <w:rPr>
          <w:rFonts w:ascii="Arial" w:hAnsi="Arial" w:cs="Arial"/>
          <w:kern w:val="0"/>
          <w14:ligatures w14:val="none"/>
        </w:rPr>
        <w:fldChar w:fldCharType="begin"/>
      </w:r>
      <w:r>
        <w:rPr>
          <w:rFonts w:ascii="Arial" w:hAnsi="Arial" w:cs="Arial"/>
          <w:kern w:val="0"/>
          <w14:ligatures w14:val="none"/>
        </w:rPr>
        <w:instrText xml:space="preserve"> ADDIN ZOTERO_ITEM CSL_CITATION {"citationID":"JZBN4ikm","properties":{"formattedCitation":"\\super 6,7\\nosupersub{}","plainCitation":"6,7","noteIndex":0},"citationItems":[{"id":399,"uris":["http://zotero.org/users/6992411/items/FRBNUSR9"],"itemData":{"id":399,"type":"book","edition":"1st","title":"Ataxia-telangiectasia in children: Guidance on diagnosis and clinical care.","author":[{"family":"The Ataxia Telangiectasia Society","given":""}],"issued":{"date-parts":[["2014"]]}}},{"id":558,"uris":["http://zotero.org/users/6992411/items/ZELVCALS"],"itemData":{"id":558,"type":"article-journal","abstract":"BACKGROUND: Ataxia-telangiectasia is an autosomal recessive, multi-system, and life-shortening disease caused by mutations in the ataxia-telangiectasia mutated gene. Although widely reported, there are no studies that give a comprehensive picture of this intriguing condition.\nOBJECTIVES: Understand the natural history of ataxia-telangiectasia (A-T), as reported in scientific literature.\nSEARCH METHODS: 107 search terms were identified and divided into 17 searches. Each search was performed in PubMed, Ovid SP (MEDLINE) 1946-present, OVID EMBASE 1980 -present, Web of Science core collection, Elsevier Scopus, and Cochrane Library.\nSELECTION CRITERIA: All human studies that report any aspect of A-T.\nDATA COLLECTION AND ANALYSIS: Search results were de-duplicated, data extracted (including author, publication year, country of origin, study design, population, participant characteristics, and clinical features). Quality of case-control and cohort studies was assessed by the Newcastle-Ottawa tool. Findings are reported descriptively and where possible data collated to report median (interquartile range, range) of outcomes of interest.\nMAIN RESULTS: 1314 cases reported 2134 presenting symptoms. The most common presenting symptom was abnormal gait (1160 cases; 188 studies) followed by recurrent infections in classical ataxia-telangiectasia and movement disorders in variant ataxia-telangiectasia. 687 cases reported 752 causes of death among which malignancy was the most frequently reported cause. Median (IQR, range) age of death (n = 294) was 14 years 0 months (10 years 0 months to 23 years 3 months, 1 year 3 months to 76 years 0 months).\nCONCLUSIONS: This review demonstrates the multi-system involvement in A-T, confirms that neurological symptoms are the most frequent presenting features in classical A-T but variants have diverse manifestations. We found that most individuals with A-T have life limited to teenage or early adulthood. Predominance of case reports, and case series demonstrate the lack of robust evidence to determine the natural history of A-T. We recommend population-based studies to fill this evidence gap.","container-title":"PloS One","DOI":"10.1371/journal.pone.0264177","ISSN":"1932-6203","issue":"3","journalAbbreviation":"PLoS One","language":"eng","note":"PMID: 35290391","page":"e0264177","source":"PubMed","title":"The natural history of ataxia-telangiectasia (A-T): A systematic review","title-short":"The natural history of ataxia-telangiectasia (A-T)","volume":"17","author":[{"family":"Petley","given":"Emily"},{"family":"Yule","given":"Alexander"},{"family":"Alexander","given":"Shaun"},{"family":"Ojha","given":"Shalini"},{"family":"Whitehouse","given":"William P."}],"issued":{"date-parts":[["2022"]]}}}],"schema":"https://github.com/citation-style-language/schema/raw/master/csl-citation.json"} </w:instrText>
      </w:r>
      <w:r w:rsidRPr="00F970CD">
        <w:rPr>
          <w:rFonts w:ascii="Arial" w:hAnsi="Arial" w:cs="Arial"/>
          <w:kern w:val="0"/>
          <w14:ligatures w14:val="none"/>
        </w:rPr>
        <w:fldChar w:fldCharType="separate"/>
      </w:r>
      <w:r w:rsidRPr="00F970CD">
        <w:rPr>
          <w:rFonts w:ascii="Arial" w:hAnsi="Arial" w:cs="Arial"/>
          <w:kern w:val="0"/>
          <w:szCs w:val="24"/>
          <w:vertAlign w:val="superscript"/>
        </w:rPr>
        <w:t>6,7</w:t>
      </w:r>
      <w:r w:rsidRPr="00F970CD">
        <w:rPr>
          <w:rFonts w:ascii="Arial" w:hAnsi="Arial" w:cs="Arial"/>
          <w:kern w:val="0"/>
          <w14:ligatures w14:val="none"/>
        </w:rPr>
        <w:fldChar w:fldCharType="end"/>
      </w:r>
      <w:r w:rsidRPr="00F970CD">
        <w:rPr>
          <w:rFonts w:ascii="Arial" w:hAnsi="Arial" w:cs="Arial"/>
          <w:kern w:val="0"/>
          <w14:ligatures w14:val="none"/>
        </w:rPr>
        <w:t>. Cancer in A-T has been reported as early as 2 years and the median age of diagnosis is 12.5 years</w:t>
      </w:r>
      <w:r w:rsidRPr="00F970CD">
        <w:rPr>
          <w:rFonts w:ascii="Arial" w:hAnsi="Arial" w:cs="Arial"/>
          <w:kern w:val="0"/>
          <w14:ligatures w14:val="none"/>
        </w:rPr>
        <w:fldChar w:fldCharType="begin"/>
      </w:r>
      <w:r>
        <w:rPr>
          <w:rFonts w:ascii="Arial" w:hAnsi="Arial" w:cs="Arial"/>
          <w:kern w:val="0"/>
          <w14:ligatures w14:val="none"/>
        </w:rPr>
        <w:instrText xml:space="preserve"> ADDIN ZOTERO_ITEM CSL_CITATION {"citationID":"rcwdCSNp","properties":{"formattedCitation":"\\super 8,9\\nosupersub{}","plainCitation":"8,9","noteIndex":0},"citationItems":[{"id":196,"uris":["http://zotero.org/users/6992411/items/SYYW7JEQ"],"itemData":{"id":196,"type":"article-journal","abstract":"BACKGROUND: Immunodeficiency in ataxia telangiectasia (A-T) is less severe in patients expressing some mutant or normal ATM kinase activity. We, therefore, determined whether expression of residual ATM kinase activity also protected against tumour development in A-T.\nMETHODS: From a total of 296 consecutive genetically confirmed A-T patients from the British Isles and the Netherlands, we identified 66 patients who developed a malignant tumour; 47 lymphoid tumours and 19 non-lymphoid tumours were diagnosed. We determined their ATM mutations, and whether cells from these patients expressed any ATM with residual ATM kinase activity.\nRESULTS: In childhood, total absence of ATM kinase activity was associated, almost exclusively, with development of lymphoid tumours. There was an overwhelming preponderance of tumours in patients &lt;16 years without kinase activity compared with those with some residual activity, consistent with a substantial protective effect of residual ATM kinase activity against tumour development in childhood. In addition, the presence of eight breast cancers in A-T patients, a 30-fold increased risk, establishes breast cancer as part of the A-T phenotype.\nCONCLUSION: Overall, a spectrum of tumour types is associated with A-T, consistent with involvement of ATM in different mechanisms of tumour formation. Tumour type was influenced by ATM allelic heterogeneity, residual ATM kinase activity and age.","container-title":"British Journal of Cancer","DOI":"10.1038/bjc.2011.266","ISSN":"1532-1827","issue":"4","journalAbbreviation":"Br J Cancer","language":"eng","note":"PMID: 21792198\nPMCID: PMC3170966","page":"586-591","source":"PubMed","title":"Lymphoid tumours and breast cancer in ataxia telangiectasia; substantial protective effect of residual ATM kinase activity against childhood tumours","volume":"105","author":[{"family":"Reiman","given":"A."},{"family":"Srinivasan","given":"V."},{"family":"Barone","given":"G."},{"family":"Last","given":"J. I."},{"family":"Wootton","given":"L. L."},{"family":"Davies","given":"E. G."},{"family":"Verhagen","given":"M. M."},{"family":"Willemsen","given":"M. A."},{"family":"Weemaes","given":"C. M."},{"family":"Byrd","given":"P. J."},{"family":"Izatt","given":"L."},{"family":"Easton","given":"D. F."},{"family":"Thompson","given":"D. J."},{"family":"Taylor","given":"A. M."}],"issued":{"date-parts":[["2011",8,9]]}}},{"id":57,"uris":["http://zotero.org/users/6992411/items/WS67HKC8"],"itemData":{"id":57,"type":"article-journal","abstract":"PURPOSE: Biallelic mutations in ATM cause ataxia-telangiectasia (AT), a rare inherited disease with a high incidence of cancer. Precise estimates of the risk, presentation, and outcomes of cancer in patients with AT need to be addressed in large series.\nPATIENTS AND METHODS: In this large retrospective cohort, 69 patients with cancers (24.5%) were identified among 279 patients with AT. Centralized review was performed on 60% of the lymphomas. Incidence rates were compared with the French population, and risk factors were analyzed.\nRESULTS: Eight patients developed acute leukemias (including four T-cell acute lymphoblastic leukemias), 12 developed Hodgkin lymphoma (HL), 38 developed non-Hodgkin lymphoma (NHL), three developed T-cell prolymphocytic leukemia (T-PLL), and eight developed carcinoma at a median age of 8.3, 10.6, 9.7, 24.2, and 31.4 years, respectively (P &lt; .001). The majority of NHLs were aggressive B-cell NHL. Epstein-Barr virus was associated with all of the HLs and 50% of the NHLs. Overall survival was shorter in patients with AT who developed cancer compared with those who did not develop cancer (15 v 24 years, respectively; P &lt; .001). Survival was improved in patients who achieved a major response to treatment (3.46 v 0.87 years for major v minor responses, respectively; P = .011). Immunodeficiency was associated with increased risk of cancer. ATM mutation type was associated with a difference in survival in the entire cohort but not with cancer incidence or cancer survival.\nCONCLUSION: B-cell NHL, HL, and acute lymphoblastic leukemia occur at a high rate and earlier age than carcinomas in AT. T-PLLs are rarer than initially reported. Prognosis is poor, but patients may benefit from treatment with an improved survival.","container-title":"Journal of Clinical Oncology: Official Journal of the American Society of Clinical Oncology","DOI":"10.1200/JCO.2014.56.5101","ISSN":"1527-7755","issue":"2","journalAbbreviation":"J Clin Oncol","language":"eng","note":"PMID: 25488969","page":"202-208","source":"PubMed","title":"Incidence, presentation, and prognosis of malignancies in ataxia-telangiectasia: a report from the French national registry of primary immune deficiencies","title-short":"Incidence, presentation, and prognosis of malignancies in ataxia-telangiectasia","volume":"33","author":[{"family":"Suarez","given":"Felipe"},{"family":"Mahlaoui","given":"Nizar"},{"family":"Canioni","given":"Danielle"},{"family":"Andriamanga","given":"Chantal"},{"family":"Dubois d'Enghien","given":"Catherine"},{"family":"Brousse","given":"Nicole"},{"family":"Jais","given":"Jean-Philippe"},{"family":"Fischer","given":"Alain"},{"family":"Hermine","given":"Olivier"},{"family":"Stoppa-Lyonnet","given":"Dominique"}],"issued":{"date-parts":[["2015",1,10]]}}}],"schema":"https://github.com/citation-style-language/schema/raw/master/csl-citation.json"} </w:instrText>
      </w:r>
      <w:r w:rsidRPr="00F970CD">
        <w:rPr>
          <w:rFonts w:ascii="Arial" w:hAnsi="Arial" w:cs="Arial"/>
          <w:kern w:val="0"/>
          <w14:ligatures w14:val="none"/>
        </w:rPr>
        <w:fldChar w:fldCharType="separate"/>
      </w:r>
      <w:r w:rsidRPr="00F970CD">
        <w:rPr>
          <w:rFonts w:ascii="Arial" w:hAnsi="Arial" w:cs="Arial"/>
          <w:kern w:val="0"/>
          <w:szCs w:val="24"/>
          <w:vertAlign w:val="superscript"/>
        </w:rPr>
        <w:t>8,9</w:t>
      </w:r>
      <w:r w:rsidRPr="00F970CD">
        <w:rPr>
          <w:rFonts w:ascii="Arial" w:hAnsi="Arial" w:cs="Arial"/>
          <w:kern w:val="0"/>
          <w14:ligatures w14:val="none"/>
        </w:rPr>
        <w:fldChar w:fldCharType="end"/>
      </w:r>
    </w:p>
    <w:p w14:paraId="117106B4" w14:textId="77777777" w:rsidR="00C14E38" w:rsidRPr="00F970CD" w:rsidRDefault="00C14E38" w:rsidP="00C14E38">
      <w:pPr>
        <w:spacing w:after="0" w:line="480" w:lineRule="auto"/>
        <w:jc w:val="both"/>
        <w:rPr>
          <w:rFonts w:ascii="Arial" w:hAnsi="Arial" w:cs="Arial"/>
          <w:kern w:val="0"/>
          <w14:ligatures w14:val="none"/>
        </w:rPr>
      </w:pPr>
    </w:p>
    <w:p w14:paraId="381ADDDE" w14:textId="77777777" w:rsidR="00C14E38" w:rsidRPr="00F970CD" w:rsidRDefault="00C14E38" w:rsidP="00C14E38">
      <w:pPr>
        <w:spacing w:after="0" w:line="480" w:lineRule="auto"/>
        <w:jc w:val="both"/>
        <w:rPr>
          <w:rFonts w:ascii="Arial" w:hAnsi="Arial" w:cs="Arial"/>
          <w:iCs/>
          <w:kern w:val="0"/>
          <w14:ligatures w14:val="none"/>
        </w:rPr>
      </w:pPr>
      <w:r w:rsidRPr="00F970CD">
        <w:rPr>
          <w:rFonts w:ascii="Arial" w:hAnsi="Arial" w:cs="Arial"/>
          <w:kern w:val="0"/>
          <w14:ligatures w14:val="none"/>
        </w:rPr>
        <w:t>Although the Pediatric Cancer Working Group of the American Association for Cancer Research (AACR) recommends surveillance in cancer predisposition syndromes (CPS) with cancer risk above 5% (up to age 20years)</w:t>
      </w:r>
      <w:r w:rsidRPr="00F970CD">
        <w:rPr>
          <w:rFonts w:ascii="Arial" w:hAnsi="Arial" w:cs="Arial"/>
          <w:kern w:val="0"/>
          <w14:ligatures w14:val="none"/>
        </w:rPr>
        <w:fldChar w:fldCharType="begin"/>
      </w:r>
      <w:r>
        <w:rPr>
          <w:rFonts w:ascii="Arial" w:hAnsi="Arial" w:cs="Arial"/>
          <w:kern w:val="0"/>
          <w14:ligatures w14:val="none"/>
        </w:rPr>
        <w:instrText xml:space="preserve"> ADDIN ZOTERO_ITEM CSL_CITATION {"citationID":"26lzKtOg","properties":{"formattedCitation":"\\super 10\\nosupersub{}","plainCitation":"10","noteIndex":0},"citationItems":[{"id":262,"uris":["http://zotero.org/users/6992411/items/R3GBGACH"],"itemData":{"id":262,"type":"article-journal","abstract":"The prevalence of childhood cancer attributable to genetic predisposition was generally considered very low. However, recent reports suggest that at least 10% of pediatric cancer patients harbor a germline mutation in a cancer predisposition gene. Although some of these children will have a family history suggestive of a cancer predisposition syndrome, many others will not. Evidence from recent pediatric studies suggests that surveillance and early detection of cancer in individuals carrying a germline cancer predisposing mutation may result in improved outcomes. However, there is a lack of consistency in the design of cancer surveillance regimens across centers both nationally and internationally. To standardize approaches, the Pediatric Cancer Working Group of the American Association for Cancer Research (AACR) convened a workshop, during which consensus screening recommendations for children with the most common cancer predisposition syndromes were developed. In general, we considered a 5% or greater chance of developing a childhood cancer to be a reasonable threshold to recommend screening. Conditions for which the cancer risk was between 1% to 5% were addressed individually. In a series of manuscripts accompanying this article, we provide recommendations for surveillance, focusing on when to initiate and/or discontinue specific screening measures, which modalities to use, and the frequency of screening. Points of controversy are also reviewed. We present the outcome of our deliberations on consensus screening recommendations for specific disorders in 18 position articles as Open Access publications, which are freely available on an AACR-managed website. Clin Cancer Res; 23(11); e1-e5. ©2017 AACRSee all articles in the online-only CCR Pediatric Oncology Series.","container-title":"Clinical Cancer Research: An Official Journal of the American Association for Cancer Research","DOI":"10.1158/1078-0432.CCR-17-0702","ISSN":"1557-3265","issue":"11","journalAbbreviation":"Clin Cancer Res","language":"eng","note":"PMID: 28572261\nPMCID: PMC5553563","page":"e1-e5","source":"PubMed","title":"Pediatric Cancer Predisposition and Surveillance: An Overview, and a Tribute to Alfred G. Knudson Jr","title-short":"Pediatric Cancer Predisposition and Surveillance","volume":"23","author":[{"family":"Brodeur","given":"Garrett M."},{"family":"Nichols","given":"Kim E."},{"family":"Plon","given":"Sharon E."},{"family":"Schiffman","given":"Joshua D."},{"family":"Malkin","given":"David"}],"issued":{"date-parts":[["2017",6,1]]}}}],"schema":"https://github.com/citation-style-language/schema/raw/master/csl-citation.json"} </w:instrText>
      </w:r>
      <w:r w:rsidRPr="00F970CD">
        <w:rPr>
          <w:rFonts w:ascii="Arial" w:hAnsi="Arial" w:cs="Arial"/>
          <w:kern w:val="0"/>
          <w14:ligatures w14:val="none"/>
        </w:rPr>
        <w:fldChar w:fldCharType="separate"/>
      </w:r>
      <w:r w:rsidRPr="00F970CD">
        <w:rPr>
          <w:rFonts w:ascii="Arial" w:hAnsi="Arial" w:cs="Arial"/>
          <w:kern w:val="0"/>
          <w:szCs w:val="24"/>
          <w:vertAlign w:val="superscript"/>
        </w:rPr>
        <w:t>10</w:t>
      </w:r>
      <w:r w:rsidRPr="00F970CD">
        <w:rPr>
          <w:rFonts w:ascii="Arial" w:hAnsi="Arial" w:cs="Arial"/>
          <w:kern w:val="0"/>
          <w14:ligatures w14:val="none"/>
        </w:rPr>
        <w:fldChar w:fldCharType="end"/>
      </w:r>
      <w:r w:rsidRPr="00F970CD">
        <w:rPr>
          <w:rFonts w:ascii="Arial" w:hAnsi="Arial" w:cs="Arial"/>
          <w:kern w:val="0"/>
          <w14:ligatures w14:val="none"/>
        </w:rPr>
        <w:t>, specific evidence-based guidance on cancer surveillance in A-T is lacking</w:t>
      </w:r>
      <w:r w:rsidRPr="00F970CD">
        <w:rPr>
          <w:rFonts w:ascii="Arial" w:hAnsi="Arial" w:cs="Arial"/>
          <w:kern w:val="0"/>
          <w14:ligatures w14:val="none"/>
        </w:rPr>
        <w:fldChar w:fldCharType="begin"/>
      </w:r>
      <w:r>
        <w:rPr>
          <w:rFonts w:ascii="Arial" w:hAnsi="Arial" w:cs="Arial"/>
          <w:kern w:val="0"/>
          <w14:ligatures w14:val="none"/>
        </w:rPr>
        <w:instrText xml:space="preserve"> ADDIN ZOTERO_ITEM CSL_CITATION {"citationID":"0nLWCsRX","properties":{"formattedCitation":"\\super 7,11\\nosupersub{}","plainCitation":"7,11","noteIndex":0},"citationItems":[{"id":558,"uris":["http://zotero.org/users/6992411/items/ZELVCALS"],"itemData":{"id":558,"type":"article-journal","abstract":"BACKGROUND: Ataxia-telangiectasia is an autosomal recessive, multi-system, and life-shortening disease caused by mutations in the ataxia-telangiectasia mutated gene. Although widely reported, there are no studies that give a comprehensive picture of this intriguing condition.\nOBJECTIVES: Understand the natural history of ataxia-telangiectasia (A-T), as reported in scientific literature.\nSEARCH METHODS: 107 search terms were identified and divided into 17 searches. Each search was performed in PubMed, Ovid SP (MEDLINE) 1946-present, OVID EMBASE 1980 -present, Web of Science core collection, Elsevier Scopus, and Cochrane Library.\nSELECTION CRITERIA: All human studies that report any aspect of A-T.\nDATA COLLECTION AND ANALYSIS: Search results were de-duplicated, data extracted (including author, publication year, country of origin, study design, population, participant characteristics, and clinical features). Quality of case-control and cohort studies was assessed by the Newcastle-Ottawa tool. Findings are reported descriptively and where possible data collated to report median (interquartile range, range) of outcomes of interest.\nMAIN RESULTS: 1314 cases reported 2134 presenting symptoms. The most common presenting symptom was abnormal gait (1160 cases; 188 studies) followed by recurrent infections in classical ataxia-telangiectasia and movement disorders in variant ataxia-telangiectasia. 687 cases reported 752 causes of death among which malignancy was the most frequently reported cause. Median (IQR, range) age of death (n = 294) was 14 years 0 months (10 years 0 months to 23 years 3 months, 1 year 3 months to 76 years 0 months).\nCONCLUSIONS: This review demonstrates the multi-system involvement in A-T, confirms that neurological symptoms are the most frequent presenting features in classical A-T but variants have diverse manifestations. We found that most individuals with A-T have life limited to teenage or early adulthood. Predominance of case reports, and case series demonstrate the lack of robust evidence to determine the natural history of A-T. We recommend population-based studies to fill this evidence gap.","container-title":"PloS One","DOI":"10.1371/journal.pone.0264177","ISSN":"1932-6203","issue":"3","journalAbbreviation":"PLoS One","language":"eng","note":"PMID: 35290391","page":"e0264177","source":"PubMed","title":"The natural history of ataxia-telangiectasia (A-T): A systematic review","title-short":"The natural history of ataxia-telangiectasia (A-T)","volume":"17","author":[{"family":"Petley","given":"Emily"},{"family":"Yule","given":"Alexander"},{"family":"Alexander","given":"Shaun"},{"family":"Ojha","given":"Shalini"},{"family":"Whitehouse","given":"William P."}],"issued":{"date-parts":[["2022"]]}}},{"id":806,"uris":["http://zotero.org/users/6992411/items/WBEUMY2X"],"itemData":{"id":806,"type":"article-journal","abstract":"Several genetic tumor syndromes have associated central nervous system (CNS) neoplasms. The spectrum of syndromes that have intracranial tumor manifestations includes ataxia telangiectasia, Cowden syndrome, familial adenomatous polyposis, hereditary non-polyposis-related colorectal cancer, Li-Fraumeni syndrome, Gorlin syndrome, neurofibromatosis types 1 and 2, multiple endocrine neoplasia type 1, tuberous sclerosis complex, von Hippel-Lindau disease, and Turcot syndrome. Many of these disorders are inherited in an autosomal dominant fashion, and identification of the associated genetic defects has led to improved understanding of the molecular pathways involved in tumorigenesis, helping pave the way to the emergence of molecularly targeted therapeutics. Recognition of individuals and families at risk for such tumors is critical to improve clinical care and optimize proper genetic counseling. To contribute effectively, the radiologist should recognize the common varieties of tumors and characteristic neuroimaging manifestations seen in each familial syndrome. A fundamental understanding of the genetics and molecular pathogenesis of these tumors is critical in understanding the development of specific and unique tumors in each entity. In this article, we review the most common genetic tumor syndromes with associated intracranial neoplasms, with emphasis on recent genetic and molecular biology data, clinical manifestations, and management as well as the controversies and current recommendations for screening and surveillance. A detailed overview of all the major and pertinent CNS imaging features will be elucidated, including computed tomography, magnetic resonance imaging, and, in relevant cases, magnetic resonance spectroscopy. ©RSNA, 2016.","container-title":"Radiographics: A Review Publication of the Radiological Society of North America, Inc","DOI":"10.1148/rg.2017160057","ISSN":"1527-1323","issue":"1","journalAbbreviation":"Radiographics","language":"eng","note":"PMID: 27911673","page":"258-280","source":"PubMed","title":"Genetic Syndromes Associated with Central Nervous System Tumors","volume":"37","author":[{"family":"Vijapura","given":"Charmi"},{"family":"Saad Aldin","given":"Ehab"},{"family":"Capizzano","given":"Aristides A."},{"family":"Policeni","given":"Bruno"},{"family":"Sato","given":"Yutaka"},{"family":"Moritani","given":"Toshio"}],"issued":{"date-parts":[["2017"]]}}}],"schema":"https://github.com/citation-style-language/schema/raw/master/csl-citation.json"} </w:instrText>
      </w:r>
      <w:r w:rsidRPr="00F970CD">
        <w:rPr>
          <w:rFonts w:ascii="Arial" w:hAnsi="Arial" w:cs="Arial"/>
          <w:kern w:val="0"/>
          <w14:ligatures w14:val="none"/>
        </w:rPr>
        <w:fldChar w:fldCharType="separate"/>
      </w:r>
      <w:r w:rsidRPr="00F970CD">
        <w:rPr>
          <w:rFonts w:ascii="Arial" w:hAnsi="Arial" w:cs="Arial"/>
          <w:kern w:val="0"/>
          <w:szCs w:val="24"/>
          <w:vertAlign w:val="superscript"/>
        </w:rPr>
        <w:t>7,11</w:t>
      </w:r>
      <w:r w:rsidRPr="00F970CD">
        <w:rPr>
          <w:rFonts w:ascii="Arial" w:hAnsi="Arial" w:cs="Arial"/>
          <w:kern w:val="0"/>
          <w14:ligatures w14:val="none"/>
        </w:rPr>
        <w:fldChar w:fldCharType="end"/>
      </w:r>
      <w:r w:rsidRPr="00F970CD">
        <w:rPr>
          <w:rFonts w:ascii="Arial" w:hAnsi="Arial" w:cs="Arial"/>
          <w:kern w:val="0"/>
          <w14:ligatures w14:val="none"/>
        </w:rPr>
        <w:t xml:space="preserve">. The AACR Childhood Cancer Predisposition workshop report states that </w:t>
      </w:r>
      <w:r w:rsidRPr="00F970CD">
        <w:rPr>
          <w:rFonts w:ascii="Arial" w:hAnsi="Arial" w:cs="Arial"/>
          <w:i/>
          <w:iCs/>
          <w:kern w:val="0"/>
          <w14:ligatures w14:val="none"/>
        </w:rPr>
        <w:t>‘Evidence-based standards for cancer screening do not exist for patients with A-T, particularly in childhood’</w:t>
      </w:r>
      <w:r w:rsidRPr="00F970CD">
        <w:rPr>
          <w:rFonts w:ascii="Arial" w:hAnsi="Arial" w:cs="Arial"/>
          <w:kern w:val="0"/>
          <w14:ligatures w14:val="none"/>
        </w:rPr>
        <w:t xml:space="preserve"> and recommends consideration of ‘</w:t>
      </w:r>
      <w:r w:rsidRPr="00F970CD">
        <w:rPr>
          <w:rFonts w:ascii="Arial" w:hAnsi="Arial" w:cs="Arial"/>
          <w:i/>
          <w:kern w:val="0"/>
          <w14:ligatures w14:val="none"/>
        </w:rPr>
        <w:t>Annual physical exam, complete blood count, and complete metabolic profile including lactate dehydrogenase’</w:t>
      </w:r>
      <w:r w:rsidRPr="00F970CD">
        <w:rPr>
          <w:rFonts w:ascii="Arial" w:hAnsi="Arial" w:cs="Arial"/>
          <w:i/>
          <w:kern w:val="0"/>
          <w14:ligatures w14:val="none"/>
        </w:rPr>
        <w:fldChar w:fldCharType="begin"/>
      </w:r>
      <w:r>
        <w:rPr>
          <w:rFonts w:ascii="Arial" w:hAnsi="Arial" w:cs="Arial"/>
          <w:i/>
          <w:kern w:val="0"/>
          <w14:ligatures w14:val="none"/>
        </w:rPr>
        <w:instrText xml:space="preserve"> ADDIN ZOTERO_ITEM CSL_CITATION {"citationID":"BmjncxID","properties":{"formattedCitation":"\\super 5\\nosupersub{}","plainCitation":"5","noteIndex":0},"citationItems":[{"id":39,"uris":["http://zotero.org/users/6992411/items/DNJMJG32"],"itemData":{"id":39,"type":"article-journal","abstract":"DNA repair syndromes are heterogeneous disorders caused by pathogenic variants in genes encoding proteins key in DNA replication and/or the cellular response to DNA damage. The majority of these syndromes are inherited in an autosomal-recessive manner, but autosomal-dominant and X-linked recessive disorders also exist. The clinical features of patients with DNA repair syndromes are highly varied and dependent on the underlying genetic cause. Notably, all patients have elevated risks of syndrome-associated cancers, and many of these cancers present in childhood. Although it is clear that the risk of cancer is increased, there are limited data defining the true incidence of cancer and almost no evidence-based approaches to cancer surveillance in patients with DNA repair disorders. This article is the product of the October 2016 AACR Childhood Cancer Predisposition Workshop, which brought together experts from around the world to discuss and develop cancer surveillance guidelines for children with cancer-prone disorders. Herein, we focus on the more common of the rare DNA repair disorders: ataxia telangiectasia, Bloom syndrome, Fanconi anemia, dyskeratosis congenita, Nijmegen breakage syndrome, Rothmund-Thomson syndrome, and Xeroderma pigmentosum. Dedicated syndrome registries and a combination of basic science and clinical research have led to important insights into the underlying biology of these disorders. Given the rarity of these disorders, it is recommended that centralized centers of excellence be involved directly or through consultation in caring for patients with heritable DNA repair syndromes. Clin Cancer Res; 23(11); e23-e31. ©2017 AACRSee all articles in the online-only CCR Pediatric Oncology Series.","container-title":"Clinical Cancer Research: An Official Journal of the American Association for Cancer Research","DOI":"10.1158/1078-0432.CCR-17-0465","ISSN":"1078-0432","issue":"11","journalAbbreviation":"Clin Cancer Res","language":"eng","note":"PMID: 28572264\nPMCID: PMC5697784","page":"e23-e31","source":"PubMed","title":"Recommendations for Childhood Cancer Screening and Surveillance in DNA Repair Disorders","volume":"23","author":[{"family":"Walsh","given":"Michael F."},{"family":"Chang","given":"Vivian Y."},{"family":"Kohlmann","given":"Wendy K."},{"family":"Scott","given":"Hamish S."},{"family":"Cunniff","given":"Christopher"},{"family":"Bourdeaut","given":"Franck"},{"family":"Molenaar","given":"Jan J."},{"family":"Porter","given":"Christopher C."},{"family":"Sandlund","given":"John T."},{"family":"Plon","given":"Sharon E."},{"family":"Wang","given":"Lisa L."},{"family":"Savage","given":"Sharon A."}],"issued":{"date-parts":[["2017",6,1]]}}}],"schema":"https://github.com/citation-style-language/schema/raw/master/csl-citation.json"} </w:instrText>
      </w:r>
      <w:r w:rsidRPr="00F970CD">
        <w:rPr>
          <w:rFonts w:ascii="Arial" w:hAnsi="Arial" w:cs="Arial"/>
          <w:i/>
          <w:kern w:val="0"/>
          <w14:ligatures w14:val="none"/>
        </w:rPr>
        <w:fldChar w:fldCharType="separate"/>
      </w:r>
      <w:r w:rsidRPr="00F970CD">
        <w:rPr>
          <w:rFonts w:ascii="Arial" w:hAnsi="Arial" w:cs="Arial"/>
          <w:kern w:val="0"/>
          <w:szCs w:val="24"/>
          <w:vertAlign w:val="superscript"/>
        </w:rPr>
        <w:t>5</w:t>
      </w:r>
      <w:r w:rsidRPr="00F970CD">
        <w:rPr>
          <w:rFonts w:ascii="Arial" w:hAnsi="Arial" w:cs="Arial"/>
          <w:i/>
          <w:kern w:val="0"/>
          <w14:ligatures w14:val="none"/>
        </w:rPr>
        <w:fldChar w:fldCharType="end"/>
      </w:r>
      <w:r w:rsidRPr="00F970CD">
        <w:rPr>
          <w:rFonts w:ascii="Arial" w:hAnsi="Arial" w:cs="Arial"/>
          <w:i/>
          <w:kern w:val="0"/>
          <w:vertAlign w:val="superscript"/>
          <w14:ligatures w14:val="none"/>
        </w:rPr>
        <w:t>(p2)</w:t>
      </w:r>
      <w:r w:rsidRPr="00F970CD">
        <w:rPr>
          <w:rFonts w:ascii="Arial" w:hAnsi="Arial" w:cs="Arial"/>
          <w:i/>
          <w:kern w:val="0"/>
          <w14:ligatures w14:val="none"/>
        </w:rPr>
        <w:t xml:space="preserve">. </w:t>
      </w:r>
    </w:p>
    <w:p w14:paraId="79BE4EA5" w14:textId="77777777" w:rsidR="00C14E38" w:rsidRPr="00F970CD" w:rsidRDefault="00C14E38" w:rsidP="00C14E38">
      <w:pPr>
        <w:spacing w:after="0" w:line="480" w:lineRule="auto"/>
        <w:jc w:val="both"/>
        <w:rPr>
          <w:rFonts w:ascii="Arial" w:eastAsia="Times New Roman" w:hAnsi="Arial" w:cs="Arial"/>
          <w:kern w:val="0"/>
          <w14:ligatures w14:val="none"/>
        </w:rPr>
      </w:pPr>
      <w:r w:rsidRPr="00F970CD">
        <w:rPr>
          <w:rFonts w:ascii="Arial" w:eastAsia="Times New Roman" w:hAnsi="Arial" w:cs="Arial"/>
          <w:kern w:val="0"/>
          <w14:ligatures w14:val="none"/>
        </w:rPr>
        <w:t xml:space="preserve">Advancements in MRI technology allow whole-body imaging with relatively short acquisition times and provide excellent soft-tissue contrast for lesion detection </w:t>
      </w:r>
      <w:r w:rsidRPr="00F970CD">
        <w:rPr>
          <w:rFonts w:ascii="Arial" w:eastAsia="Times New Roman" w:hAnsi="Arial" w:cs="Arial"/>
          <w:kern w:val="0"/>
          <w14:ligatures w14:val="none"/>
        </w:rPr>
        <w:fldChar w:fldCharType="begin"/>
      </w:r>
      <w:r>
        <w:rPr>
          <w:rFonts w:ascii="Arial" w:eastAsia="Times New Roman" w:hAnsi="Arial" w:cs="Arial"/>
          <w:kern w:val="0"/>
          <w14:ligatures w14:val="none"/>
        </w:rPr>
        <w:instrText xml:space="preserve"> ADDIN ZOTERO_ITEM CSL_CITATION {"citationID":"dn41nYRM","properties":{"formattedCitation":"\\super 12\\uc0\\u8211{}15\\nosupersub{}","plainCitation":"12–15","noteIndex":0},"citationItems":[{"id":251,"uris":["http://zotero.org/users/6992411/items/BDPTSKWN"],"itemData":{"id":251,"type":"article-journal","abstract":"OBJECTIVE: The purpose of this article is to review current image acquisition and interpretation for whole-body MRI, clinical applications, and the emerging roles in oncologic imaging, especially in the assessment of bone marrow diseases.\nCONCLUSION: Whole-body MRI is an emerging technique used for early diagnosis, staging, and assessment of therapeutic response in oncology. The improved accessibility and advances in technology, including widely available sequences (Dixon and DWI), have accelerated its deployment and acceptance in clinical practice.","container-title":"AJR. American journal of roentgenology","DOI":"10.2214/AJR.17.17984","ISSN":"1546-3141","issue":"6","journalAbbreviation":"AJR Am J Roentgenol","language":"eng","note":"PMID: 28981354","page":"W336-W349","source":"PubMed","title":"Whole-Body MRI: Current Applications in Oncology","title-short":"Whole-Body MRI","volume":"209","author":[{"family":"Morone","given":"Mario"},{"family":"Bali","given":"Maria Antonietta"},{"family":"Tunariu","given":"Nina"},{"family":"Messiou","given":"Christina"},{"family":"Blackledge","given":"Matthew"},{"family":"Grazioli","given":"Luigi"},{"family":"Koh","given":"Dow-Mu"}],"issued":{"date-parts":[["2017",12]]}}},{"id":21,"uris":["http://zotero.org/users/6992411/items/YXEK3BMS"],"itemData":{"id":21,"type":"article-journal","abstract":"OBJECTIVE: Children with cancer-predisposing conditions are at increased risk to develop and die of cancer. Limited data exist on the utility of whole-body MRI as a cancer screening tool in children. In this study, we examined the diagnostic performance of whole-body MRI as a mechanism of tumor surveillance for children at increased genetic risk for cancer.\nMATERIALS AND METHODS: Twenty-four children (six boys and 18 girls) with a mean age of 11.2 years (range, 2.1-18.2 years) underwent 50 unenhanced whole-body MRI examinations over a 5-year period. Scans were retrospectively reviewed and assessed for image quality; sequences performed; and the presence of osseous, soft-tissue, or solid organ abnormalities. Findings suggestive of a malignancy were stratified by risk as low (&lt; 20% chance for cancer), moderate (20-80%), or high (&gt; 80%). MRI findings were correlated with medical records, biopsy results, or additional follow-up imaging; biopsy and follow-up were considered as the reference standards.\nRESULTS: Forty-eight of 50 (96%) examinations were of very good quality. Nine findings suspicious for malignancy were identified, including two high-risk, two moderate-risk, and five low-risk lesions. One high-risk lesion was proven by biopsy to be a papillary thyroid carcinoma, with the remaining lesions deemed nonmalignant. The sensitivity of whole-body MRI was 100%; specificity, 94%; positive predictive value, 25%; and negative predictive value (NPV), 100%.\nCONCLUSION: Unenhanced whole-body MRI is safe and produces excellent images. The high sensitivity, specificity, and NPV make whole-body MRI a valuable cancer screening tool in children with a genetic predisposition for cancer.","container-title":"AJR. American journal of roentgenology","DOI":"10.2214/AJR.14.13663","ISSN":"1546-3141","issue":"2","journalAbbreviation":"AJR Am J Roentgenol","language":"eng","note":"PMID: 26204294","page":"400-408","source":"PubMed","title":"Diagnostic Performance of Whole-Body MRI as a Tool for Cancer Screening in Children With Genetic Cancer-Predisposing Conditions","volume":"205","author":[{"family":"Anupindi","given":"Sudha A."},{"family":"Bedoya","given":"Maria A."},{"family":"Lindell","given":"Robert B."},{"family":"Rambhatla","given":"Siri J."},{"family":"Zelley","given":"Kristin"},{"family":"Nichols","given":"Kim E."},{"family":"Chauvin","given":"Nancy A."}],"issued":{"date-parts":[["2015",8]]}}},{"id":23,"uris":["http://zotero.org/users/6992411/items/3Q7VFYII"],"itemData":{"id":23,"type":"article-journal","abstract":"Cancer predisposition syndromes increase the incidence of tumors during childhood and are associated with significant morbidity and mortality. Imaging is paramount for ensuring early detection of neoplasms, impacting therapeutic interventions and potentially improving outcome. While conventional imaging techniques involve considerable exposure to ionizing radiation, whole-body MRI is a radiation-free modality that allows continuous imaging of the entire body and has increasingly gained relevance in the surveillance, diagnosis, staging and monitoring of pediatric patients with cancer predisposition syndromes. Nevertheless, widespread implementation of whole-body MRI faces several challenges as a screening tool. Some of these challenges include developing clinical indications, variability in protocol specifications, image interpretation as well as coding and billing practices. These factors impact disease management, patient and family experience and research collaborations. In this discussion we review the aforementioned special considerations and the potential direction that might help overcome these challenges and promote more widespread use of whole-body MRI in children with cancer predisposition syndromes.","container-title":"Pediatric Radiology","DOI":"10.1007/s00247-019-04431-3","ISSN":"1432-1998","issue":"11","journalAbbreviation":"Pediatr Radiol","language":"eng","note":"PMID: 31620850","page":"1506-1515","source":"PubMed","title":"Whole-body magnetic resonance imaging of pediatric cancer predisposition syndromes: special considerations, challenges and perspective","title-short":"Whole-body magnetic resonance imaging of pediatric cancer predisposition syndromes","volume":"49","author":[{"family":"Saade-Lemus","given":"Sandra"},{"family":"Degnan","given":"Andrew J."},{"family":"Acord","given":"Michael R."},{"family":"Srinivasan","given":"Abhay S."},{"family":"Reid","given":"Janet R."},{"family":"Servaes","given":"Sabah E."},{"family":"States","given":"Lisa J."},{"family":"Anupindi","given":"Sudha A."}],"issued":{"date-parts":[["2019"]]}}},{"id":288,"uris":["http://zotero.org/users/6992411/items/2AMGBNTI"],"itemData":{"id":288,"type":"article-journal","abstract":"Pediatric whole-body (WB) magnetic resonance imaging (MRI) is an established technique that, with improved accessibility and advances in technology, is being used with increasing frequency for a wide variety of applications. The advantages of WB MRI (over other imaging modalities), particularly its lack of ionizing radiation (of particular concern in pediatric imaging due to children's increased sensitivity to ionizing radiation) and the ability of MRI to image the bone marrow, solid organs, and soft tissues with superior soft-tissue contrast resolution to other techniques, promise that WB MRI has great potential in conditions that are diffuse or multifocal. There is particular interest in its role in the field of pediatric oncology (eg, lymphoma, neuroblastoma, sarcoma, and Langerhans cell histiocytosis). The main disadvantages of WB MRI are its relatively long scanning times, artifacts from motion (requiring patient cooperation or general anesthesia), and limited specificity. However, advances in hardware and imaging techniques, including additional sequences (out-of-phase imaging, diffusion-weighted imaging, and contrast enhancement) are reducing the impact of some of these challenges.","container-title":"Journal of Pediatric Hematology/Oncology","DOI":"10.1097/MPH.0000000000000031","ISSN":"1536-3678","issue":"5","journalAbbreviation":"J Pediatr Hematol Oncol","language":"eng","note":"PMID: 24072253","page":"342-352","source":"PubMed","title":"The role of whole-body MRI in pediatric oncology","volume":"36","author":[{"family":"Atkin","given":"Karen L."},{"family":"Ditchfield","given":"Michael R."}],"issued":{"date-parts":[["2014",7]]}}}],"schema":"https://github.com/citation-style-language/schema/raw/master/csl-citation.json"} </w:instrText>
      </w:r>
      <w:r w:rsidRPr="00F970CD">
        <w:rPr>
          <w:rFonts w:ascii="Arial" w:eastAsia="Times New Roman" w:hAnsi="Arial" w:cs="Arial"/>
          <w:kern w:val="0"/>
          <w14:ligatures w14:val="none"/>
        </w:rPr>
        <w:fldChar w:fldCharType="separate"/>
      </w:r>
      <w:r w:rsidRPr="00F970CD">
        <w:rPr>
          <w:rFonts w:ascii="Arial" w:hAnsi="Arial" w:cs="Arial"/>
          <w:kern w:val="0"/>
          <w:szCs w:val="24"/>
          <w:vertAlign w:val="superscript"/>
        </w:rPr>
        <w:t>12–15</w:t>
      </w:r>
      <w:r w:rsidRPr="00F970CD">
        <w:rPr>
          <w:rFonts w:ascii="Arial" w:eastAsia="Times New Roman" w:hAnsi="Arial" w:cs="Arial"/>
          <w:kern w:val="0"/>
          <w14:ligatures w14:val="none"/>
        </w:rPr>
        <w:fldChar w:fldCharType="end"/>
      </w:r>
      <w:r w:rsidRPr="00F970CD">
        <w:rPr>
          <w:rFonts w:ascii="Arial" w:eastAsia="Times New Roman" w:hAnsi="Arial" w:cs="Arial"/>
          <w:kern w:val="0"/>
          <w14:ligatures w14:val="none"/>
        </w:rPr>
        <w:t>. Whole-body MRI (WBMRI) protocols optimised for cancer detection are now used clinically for diagnosing and monitoring cancers and non-cancer lesions</w:t>
      </w:r>
      <w:r w:rsidRPr="00F970CD">
        <w:rPr>
          <w:rFonts w:ascii="Arial" w:eastAsia="Times New Roman" w:hAnsi="Arial" w:cs="Arial"/>
          <w:kern w:val="0"/>
          <w14:ligatures w14:val="none"/>
        </w:rPr>
        <w:fldChar w:fldCharType="begin"/>
      </w:r>
      <w:r>
        <w:rPr>
          <w:rFonts w:ascii="Arial" w:eastAsia="Times New Roman" w:hAnsi="Arial" w:cs="Arial"/>
          <w:kern w:val="0"/>
          <w14:ligatures w14:val="none"/>
        </w:rPr>
        <w:instrText xml:space="preserve"> ADDIN ZOTERO_ITEM CSL_CITATION {"citationID":"zFZL0cNw","properties":{"formattedCitation":"\\super 12\\uc0\\u8211{}14,16\\uc0\\u8211{}23\\nosupersub{}","plainCitation":"12–14,16–23","noteIndex":0},"citationItems":[{"id":251,"uris":["http://zotero.org/users/6992411/items/BDPTSKWN"],"itemData":{"id":251,"type":"article-journal","abstract":"OBJECTIVE: The purpose of this article is to review current image acquisition and interpretation for whole-body MRI, clinical applications, and the emerging roles in oncologic imaging, especially in the assessment of bone marrow diseases.\nCONCLUSION: Whole-body MRI is an emerging technique used for early diagnosis, staging, and assessment of therapeutic response in oncology. The improved accessibility and advances in technology, including widely available sequences (Dixon and DWI), have accelerated its deployment and acceptance in clinical practice.","container-title":"AJR. American journal of roentgenology","DOI":"10.2214/AJR.17.17984","ISSN":"1546-3141","issue":"6","journalAbbreviation":"AJR Am J Roentgenol","language":"eng","note":"PMID: 28981354","page":"W336-W349","source":"PubMed","title":"Whole-Body MRI: Current Applications in Oncology","title-short":"Whole-Body MRI","volume":"209","author":[{"family":"Morone","given":"Mario"},{"family":"Bali","given":"Maria Antonietta"},{"family":"Tunariu","given":"Nina"},{"family":"Messiou","given":"Christina"},{"family":"Blackledge","given":"Matthew"},{"family":"Grazioli","given":"Luigi"},{"family":"Koh","given":"Dow-Mu"}],"issued":{"date-parts":[["2017",12]]}}},{"id":21,"uris":["http://zotero.org/users/6992411/items/YXEK3BMS"],"itemData":{"id":21,"type":"article-journal","abstract":"OBJECTIVE: Children with cancer-predisposing conditions are at increased risk to develop and die of cancer. Limited data exist on the utility of whole-body MRI as a cancer screening tool in children. In this study, we examined the diagnostic performance of whole-body MRI as a mechanism of tumor surveillance for children at increased genetic risk for cancer.\nMATERIALS AND METHODS: Twenty-four children (six boys and 18 girls) with a mean age of 11.2 years (range, 2.1-18.2 years) underwent 50 unenhanced whole-body MRI examinations over a 5-year period. Scans were retrospectively reviewed and assessed for image quality; sequences performed; and the presence of osseous, soft-tissue, or solid organ abnormalities. Findings suggestive of a malignancy were stratified by risk as low (&lt; 20% chance for cancer), moderate (20-80%), or high (&gt; 80%). MRI findings were correlated with medical records, biopsy results, or additional follow-up imaging; biopsy and follow-up were considered as the reference standards.\nRESULTS: Forty-eight of 50 (96%) examinations were of very good quality. Nine findings suspicious for malignancy were identified, including two high-risk, two moderate-risk, and five low-risk lesions. One high-risk lesion was proven by biopsy to be a papillary thyroid carcinoma, with the remaining lesions deemed nonmalignant. The sensitivity of whole-body MRI was 100%; specificity, 94%; positive predictive value, 25%; and negative predictive value (NPV), 100%.\nCONCLUSION: Unenhanced whole-body MRI is safe and produces excellent images. The high sensitivity, specificity, and NPV make whole-body MRI a valuable cancer screening tool in children with a genetic predisposition for cancer.","container-title":"AJR. American journal of roentgenology","DOI":"10.2214/AJR.14.13663","ISSN":"1546-3141","issue":"2","journalAbbreviation":"AJR Am J Roentgenol","language":"eng","note":"PMID: 26204294","page":"400-408","source":"PubMed","title":"Diagnostic Performance of Whole-Body MRI as a Tool for Cancer Screening in Children With Genetic Cancer-Predisposing Conditions","volume":"205","author":[{"family":"Anupindi","given":"Sudha A."},{"family":"Bedoya","given":"Maria A."},{"family":"Lindell","given":"Robert B."},{"family":"Rambhatla","given":"Siri J."},{"family":"Zelley","given":"Kristin"},{"family":"Nichols","given":"Kim E."},{"family":"Chauvin","given":"Nancy A."}],"issued":{"date-parts":[["2015",8]]}}},{"id":23,"uris":["http://zotero.org/users/6992411/items/3Q7VFYII"],"itemData":{"id":23,"type":"article-journal","abstract":"Cancer predisposition syndromes increase the incidence of tumors during childhood and are associated with significant morbidity and mortality. Imaging is paramount for ensuring early detection of neoplasms, impacting therapeutic interventions and potentially improving outcome. While conventional imaging techniques involve considerable exposure to ionizing radiation, whole-body MRI is a radiation-free modality that allows continuous imaging of the entire body and has increasingly gained relevance in the surveillance, diagnosis, staging and monitoring of pediatric patients with cancer predisposition syndromes. Nevertheless, widespread implementation of whole-body MRI faces several challenges as a screening tool. Some of these challenges include developing clinical indications, variability in protocol specifications, image interpretation as well as coding and billing practices. These factors impact disease management, patient and family experience and research collaborations. In this discussion we review the aforementioned special considerations and the potential direction that might help overcome these challenges and promote more widespread use of whole-body MRI in children with cancer predisposition syndromes.","container-title":"Pediatric Radiology","DOI":"10.1007/s00247-019-04431-3","ISSN":"1432-1998","issue":"11","journalAbbreviation":"Pediatr Radiol","language":"eng","note":"PMID: 31620850","page":"1506-1515","source":"PubMed","title":"Whole-body magnetic resonance imaging of pediatric cancer predisposition syndromes: special considerations, challenges and perspective","title-short":"Whole-body magnetic resonance imaging of pediatric cancer predisposition syndromes","volume":"49","author":[{"family":"Saade-Lemus","given":"Sandra"},{"family":"Degnan","given":"Andrew J."},{"family":"Acord","given":"Michael R."},{"family":"Srinivasan","given":"Abhay S."},{"family":"Reid","given":"Janet R."},{"family":"Servaes","given":"Sabah E."},{"family":"States","given":"Lisa J."},{"family":"Anupindi","given":"Sudha A."}],"issued":{"date-parts":[["2019"]]}}},{"id":403,"uris":["http://zotero.org/users/6992411/items/LGEKLB25"],"itemData":{"id":403,"type":"book","publisher":"Oxford: Blackwell Science Ltd","title":"MRI in practice","author":[{"family":"Kaut","given":"C"},{"family":"Westbrook","given":"C"}],"issued":{"date-parts":[["1993"]]}}},{"id":402,"uris":["http://zotero.org/users/6992411/items/GWAC6QHK"],"itemData":{"id":402,"type":"book","abstract":"Presents the basics of MR practice and theory as the practitioner first meets them.","event-place":"Cambridge, UK; New York","ISBN":"978-0-511-34944-7","language":"en","note":"OCLC: 181655274","publisher":"Cambridge University Press","publisher-place":"Cambridge, UK; New York","source":"Open WorldCat","title":"MRI from picture to proton","URL":"https://doi.org/10.1017/CBO9780511545405","author":[{"family":"McRobbie","given":"Donald W"}],"accessed":{"date-parts":[["2022",1,21]]},"issued":{"date-parts":[["2006"]]}}},{"id":17,"uris":["http://zotero.org/users/6992411/items/3LGTRNA6"],"itemData":{"id":17,"type":"article-journal","abstract":"The American Association for Cancer Research convened a meeting of international pediatric oncologists, geneticists, genetic counselors, and radiologists expert in childhood cancer predisposition syndromes (CPS) in October 2016 to propose consensus surveillance guidelines. Imaging plays a central role in surveillance for most, though not all, syndromes discussed. While encompassing the full gamut of modalities, there is increasing emphasis on use of nonionizing radiation imaging options such as magnetic resonance imaging (MRI) in children and adolescents, especially in the pediatric CPS population. In view of rapid evolution and widespread adoption of whole-body MRI (WBMRI), the purpose of our review is to address WBMRI in detail. We discuss its place in the surveillance of a range of pediatric CPS, the technical and logistical aspects of acquiring and interpreting these studies, and the inherent limitations of WBMRI. We also address issues associated with sedation and use of gadolinium-based contrast agents in MRI in children. Clin Cancer Res; 23(11); e6-e13. ©2017 AACRSee all articles in the online-only CCR Pediatric Oncology Series.","container-title":"Clinical Cancer Research: An Official Journal of the American Association for Cancer Research","DOI":"10.1158/1078-0432.CCR-17-0515","ISSN":"1557-3265","issue":"11","journalAbbreviation":"Clin Cancer Res","language":"eng","note":"PMID: 28572262","page":"e6-e13","source":"PubMed","title":"Pediatric Cancer Predisposition Imaging: Focus on Whole-Body MRI","title-short":"Pediatric Cancer Predisposition Imaging","volume":"23","author":[{"family":"Greer","given":"Mary-Louise C."},{"family":"Voss","given":"Stephan D."},{"family":"States","given":"Lisa J."}],"issued":{"date-parts":[["2017",6,1]]}}},{"id":16,"uris":["http://zotero.org/users/6992411/items/3SK4G23T"],"itemData":{"id":16,"type":"article-journal","abstract":"Imaging is fundamental to diagnosis and management of pediatric patients with cancer and cancer predisposition syndromes (CPSs). Whole-body MRI has emerged as a versatile tool for pediatric oncologic imaging, with the potential to spare children from ionizing radiation imparted by conventional modalities such as CT and PET. Whole-body MRI also enables simultaneous high-resolution local-regional staging and wide field-of-view distant staging in the same imaging session, with superior evaluation of the brain, spine, liver, and marrow. Recent technical advances have reduced imaging times and enhanced image quality, with continued advances on the near horizon. Pulse sequences such as whole-body diffusion-weighted imaging have also broadened the range of diagnostic information obtainable. In addition, increasing identification of children with CPSs has compelled efforts to establish surveillance imaging strategies for affected individuals, with whole-body MRI playing a pivotal role in screening algorithms for several CPSs. In light of these emerging trends, a working knowledge of oncologic whole-body MRI applications and evolving CPS surveillance algorithms is vital to providers who participate in the care of pediatric patients affected by or predisposed to cancer. Recognizing both the strengths and limitations of whole-body MRI not only enables more thoughtful implementation but also improves the accuracy of image interpretation. ©RSNA, 2019 See discussion on this article by Khanna .","container-title":"Radiographics: A Review Publication of the Radiological Society of North America, Inc","DOI":"10.1148/rg.2019180130","ISSN":"1527-1323","issue":"2","journalAbbreviation":"Radiographics","language":"eng","note":"PMID: 30681900","page":"516-534","source":"PubMed","title":"Current and Emerging Roles of Whole-Body MRI in Evaluation of Pediatric Cancer Patients","volume":"39","author":[{"family":"Gottumukkala","given":"Ravi V."},{"family":"Gee","given":"Michael S."},{"family":"Hampilos","given":"Perry J."},{"family":"Greer","given":"Mary-Louise C."}],"issued":{"date-parts":[["2019",4]]}}},{"id":231,"uris":["http://zotero.org/users/6992411/items/KTB44B2G"],"itemData":{"id":231,"type":"article-journal","abstract":"OBJECTIVE. Whole-body MRI is a valuable tool in the surveillance of cancer predisposition syndromes (CPSs). Because it allows wide-FOV imaging without ionizing radiation, whole-body MRI is ideal in pediatric patients, enabling efficient assessment of different organ systems for multifocal disease. This article summarizes the use of whole-body MRI in pediatric patients with CPSs for earlier detection of malignancy, provides evidence where available, and offers guidance where lacking because of the rarity of CPSs. Protocol modifications and technique performance in specific CPSs are also considered. CONCLUSION. Whole-body MRI is the preferred imaging modality for surveillance of pediatric patients with CPSs, and the growing literature supports its importance in presymptomatic cancer detection.","container-title":"AJR. American journal of roentgenology","DOI":"10.2214/AJR.19.22399","ISSN":"1546-3141","issue":"4","journalAbbreviation":"AJR Am J Roentgenol","language":"eng","note":"PMID: 32809862","page":"1002-1011","source":"PubMed","title":"Whole-Body MRI Surveillance of Cancer Predisposition Syndromes: Current Best Practice Guidelines for Use, Performance, and Interpretation","title-short":"Whole-Body MRI Surveillance of Cancer Predisposition Syndromes","volume":"215","author":[{"family":"Grasparil","given":"Angelo Don"},{"family":"Gottumukkala","given":"Ravi V."},{"family":"Greer","given":"Mary-Louise C."},{"family":"Gee","given":"Michael S."}],"issued":{"date-parts":[["2020",10]]}}},{"id":329,"uris":["http://zotero.org/users/6992411/items/KB638JRE"],"itemData":{"id":329,"type":"article-journal","abstract":"Whole body MRI provides excellent contrast resolution imaging and is an interesting alternative to nuclear medicine examinations in paediatric oncology because it does not involve exposure to radiation. This technique, now feasible in clinical practice, helps to evaluate metastatic spread and response to treatment, which are of great prognostic interest. Numerous studies have demonstrated the non-inferiority of this technique when compared to nuclear medicine examinations. However, there is still a need to standardize indications in each type of cancer and at every stage of it. This article first discusses the technical principles of whole body MRI, then reviews current clinical applications for the modality in children, and finally, discusses future useful developments for paediatric oncology.","container-title":"Diagnostic and Interventional Imaging","DOI":"10.1016/j.diii.2013.11.002","ISSN":"2211-5684","issue":"6","journalAbbreviation":"Diagnostic and Interventional Imaging","language":"en","page":"541-550","source":"ScienceDirect","title":"Whole body MRI in paediatric oncology","volume":"95","author":[{"family":"Canale","given":"S."},{"family":"Vilcot","given":"L."},{"family":"Ammari","given":"S."},{"family":"Lemery","given":"M."},{"family":"Bidault","given":"F."},{"family":"Balleyguier","given":"C."},{"family":"Caramella","given":"C."},{"family":"Dromain","given":"C."}],"issued":{"date-parts":[["2014",6,1]]}}},{"id":415,"uris":["http://zotero.org/users/6992411/items/WGJRRZW8"],"itemData":{"id":415,"type":"article-journal","abstract":"Purpose: To evaluate repeatability of quantitative multi-parametric MRI in retroperitoneal sarcomas, assess parameter changes with radiotherapy, and correlate pre-operative values with histopathological findings in the surgical specimens. Materials and Methods: Thirty patients with retroperitoneal sarcoma were imaged at baseline, of whom 27 also underwent a second baseline examination for repeatability assessment. 14/30 patients were treated with pre-operative radiotherapy and were imaged again after completing radiotherapy (50.4 Gy in 28 daily fractions, over 5.5 weeks). The following parameter estimates were assessed in the whole tumor volume at baseline and following radiotherapy: apparent diffusion coefficient (ADC), parameters of the intra-voxel incoherent motion model of diffusion-weighted MRI (D, f, D*), transverse relaxation rate, fat fraction, and enhancing fraction after gadolinium-based contrast injection. Correlation was evaluated between pre-operative quantitative parameters and histopathological assessments of cellularity and fat fraction in post-surgical specimens (ClinicalTrials.gov, registration number NCT01902667). Results: Upper and lower 95% limits of agreement were 7.1 and -6.6%, respectively for median ADC at baseline. Median ADC increased significantly post-radiotherapy. Pre-operative ADC and D were negatively correlated with cellularity (r = -0.42, p = 0.01, 95% confidence interval (CI) -0.22 to -0.59 for ADC; r = -0.45, p = 0.005, 95% CI -0.25 to -0.62 for D), and fat fraction from Dixon MRI showed strong correlation with histopathological assessment of fat fraction (r = 0.79, p = 10-7, 95% CI 0.69-0.86). Conclusion: Fat fraction on MRI corresponded to fat content on histology and therefore contributes to lesion characterization. Measurement repeatability was excellent for ADC; this parameter increased significantly post-radiotherapy even in disease categorized as stable by size criteria, and corresponded to cellularity on histology. ADC can be utilized for characterizing and assessing response in heterogeneous retroperitoneal sarcomas.","container-title":"Frontiers in Oncology","DOI":"10.3389/fonc.2019.00280","ISSN":"2234-943X","journalAbbreviation":"Front Oncol","language":"eng","note":"PMID: 31106141\nPMCID: PMC6494941","page":"280","source":"PubMed","title":"Utility of Multi-Parametric Quantitative Magnetic Resonance Imaging for Characterization and Radiotherapy Response Assessment in Soft-Tissue Sarcomas and Correlation With Histopathology","volume":"9","author":[{"family":"Winfield","given":"Jessica M."},{"family":"Miah","given":"Aisha B."},{"family":"Strauss","given":"Dirk"},{"family":"Thway","given":"Khin"},{"family":"Collins","given":"David J."},{"family":"deSouza","given":"Nandita M."},{"family":"Leach","given":"Martin O."},{"family":"Morgan","given":"Veronica A."},{"family":"Giles","given":"Sharon L."},{"family":"Moskovic","given":"Eleanor"},{"family":"Hayes","given":"Andrew"},{"family":"Smith","given":"Myles"},{"family":"Zaidi","given":"Shane H."},{"family":"Henderson","given":"Daniel"},{"family":"Messiou","given":"Christina"}],"issued":{"date-parts":[["2019"]]}}},{"id":413,"uris":["http://zotero.org/users/6992411/items/AQN4SNG6"],"itemData":{"id":413,"type":"article-journal","abstract":"This article outlines current international guidance for the role of imaging in myeloma and summarizes evidence regarding the role of whole-body MR imaging in diagnosis and response assessment. Whole-body MR imaging protocols, including diffusion-weighted MR imaging, are suggested as well as notes on pearls, pitfalls, and variants.","container-title":"Magnetic Resonance Imaging Clinics of North America","DOI":"10.1016/j.mric.2018.06.006","ISSN":"1557-9786","issue":"4","journalAbbreviation":"Magn Reson Imaging Clin N Am","language":"eng","note":"PMID: 30316464","page":"509-525","source":"PubMed","title":"Whole-Body Imaging in Multiple Myeloma","volume":"26","author":[{"family":"Messiou","given":"Christina"},{"family":"Kaiser","given":"Martin"}],"issued":{"date-parts":[["2018",11]]}}}],"schema":"https://github.com/citation-style-language/schema/raw/master/csl-citation.json"} </w:instrText>
      </w:r>
      <w:r w:rsidRPr="00F970CD">
        <w:rPr>
          <w:rFonts w:ascii="Arial" w:eastAsia="Times New Roman" w:hAnsi="Arial" w:cs="Arial"/>
          <w:kern w:val="0"/>
          <w14:ligatures w14:val="none"/>
        </w:rPr>
        <w:fldChar w:fldCharType="separate"/>
      </w:r>
      <w:r w:rsidRPr="00F970CD">
        <w:rPr>
          <w:rFonts w:ascii="Arial" w:hAnsi="Arial" w:cs="Arial"/>
          <w:kern w:val="0"/>
          <w:szCs w:val="24"/>
          <w:vertAlign w:val="superscript"/>
        </w:rPr>
        <w:t>12–14,16–23</w:t>
      </w:r>
      <w:r w:rsidRPr="00F970CD">
        <w:rPr>
          <w:rFonts w:ascii="Arial" w:eastAsia="Times New Roman" w:hAnsi="Arial" w:cs="Arial"/>
          <w:kern w:val="0"/>
          <w14:ligatures w14:val="none"/>
        </w:rPr>
        <w:fldChar w:fldCharType="end"/>
      </w:r>
      <w:r w:rsidRPr="00F970CD">
        <w:rPr>
          <w:rFonts w:ascii="Arial" w:eastAsia="Times New Roman" w:hAnsi="Arial" w:cs="Arial"/>
          <w:kern w:val="0"/>
          <w14:ligatures w14:val="none"/>
        </w:rPr>
        <w:t>, and guidelines for some CPS now include MRI</w:t>
      </w:r>
      <w:r w:rsidRPr="00F970CD">
        <w:rPr>
          <w:rFonts w:ascii="Arial" w:eastAsia="Times New Roman" w:hAnsi="Arial" w:cs="Arial"/>
          <w:kern w:val="0"/>
          <w14:ligatures w14:val="none"/>
        </w:rPr>
        <w:fldChar w:fldCharType="begin"/>
      </w:r>
      <w:r>
        <w:rPr>
          <w:rFonts w:ascii="Arial" w:eastAsia="Times New Roman" w:hAnsi="Arial" w:cs="Arial"/>
          <w:kern w:val="0"/>
          <w14:ligatures w14:val="none"/>
        </w:rPr>
        <w:instrText xml:space="preserve"> ADDIN ZOTERO_ITEM CSL_CITATION {"citationID":"iOwiLCty","properties":{"formattedCitation":"\\super 24\\uc0\\u8211{}29\\nosupersub{}","plainCitation":"24–29","noteIndex":0},"citationItems":[{"id":50,"uris":["http://zotero.org/users/6992411/items/IKD48YH8"],"itemData":{"id":50,"type":"webpage","language":"en","note":"DOI: 10.1016/S1470-2045(16)30249-2","title":"Biochemical and imaging surveillance in germline TP53 mutation carriers with Li-Fraumeni syndrome: 11 year follow-up of a prospective observational study | Elsevier Enhanced Reader","title-short":"Biochemical and imaging surveillance in germline TP53 mutation carriers with Li-Fraumeni syndrome","URL":"https://reader.elsevier.com/reader/sd/pii/S1470204516302492?token=9D0C683183A1CC668DCC4B495178B8CAAF5DB271E6D367777FAD14EF30FD66B4862259453C1B5E8264841751E8951225","author":[{"family":"Villani","given":""}],"accessed":{"date-parts":[["2020",11,17]]}}},{"id":51,"uris":["http://zotero.org/users/6992411/items/YWTC8QKB"],"itemData":{"id":51,"type":"webpage","language":"en","note":"DOI: 10.1016/S1470-2045(11)70119-X","title":"Biochemical and imaging surveillance in germline TP53 mutation carriers with Li-Fraumeni syndrome: a prospective observational study | Elsevier Enhanced Reader","title-short":"Biochemical and imaging surveillance in germline TP53 mutation carriers with Li-Fraumeni syndrome","URL":"https://reader.elsevier.com/reader/sd/pii/S147020451170119X?token=2CD4B98250C49A90E06293D078A98B5E5D0832303A8CBE9B0C72CE698220836A466C6FF2DFE602A3B7D0BA108D5E10CB","author":[{"family":"Villani","given":""}],"accessed":{"date-parts":[["2020",11,17]]}}},{"id":26,"uris":["http://zotero.org/users/6992411/items/D9CPFWBF"],"itemData":{"id":26,"type":"article-journal","abstract":"PURPOSE OF REVIEW: Li-Fraumeni syndrome is associated with germline TP53 mutations and carriers have a high lifetime risk of cancer, the most common being sarcoma, breast cancer, brain tumors, adrenocortical carcinoma and leukemia. Germline TP53 mutation carriers are increasingly being identified as more genomic sequencing is performed in both clinical and research settings. There is a pressing clinical need for effective cancer risk management approaches in this group.\nRECENT FINDINGS: Current clinical surveillance guidelines mainly focus on breast and bowel cancer risk with little consideration for the other cancers common to the syndrome. Imaging technologies are such that the utilization of whole-body MRI imaging for surveillance is viable. Globally, several research groups have included whole-body MRI along with other diagnostic measures in formulating surveillance protocols for TP53 mutation carriers. Early reports suggest a survival benefit.\nSUMMARY: Surveillance protocols for TP53 mutation carriers have the potential to improve outcomes in individuals and families. Further research is needed to guide the development of an effective and comprehensive surveillance schedule.","container-title":"Current Opinion in Oncology","DOI":"10.1097/CCO.0000000000000200","ISSN":"1531-703X","issue":"4","journalAbbreviation":"Curr Opin Oncol","language":"eng","note":"PMID: 26049273","page":"332-337","source":"PubMed","title":"Surveillance recommendations for patients with germline TP53 mutations","volume":"27","author":[{"family":"Ballinger","given":"Mandy L."},{"family":"Mitchell","given":"Gillian"},{"family":"Thomas","given":"David M."}],"issued":{"date-parts":[["2015",7]]}}},{"id":40,"uris":["http://zotero.org/users/6992411/items/8X9JYX4A"],"itemData":{"id":40,"type":"article-journal","abstract":"Li-Fraumeni syndrome (LFS) is an autosomal dominantly inherited condition caused by germline mutations of the TP53 tumor suppressor gene encoding p53, a transcription factor triggered as a protective cellular mechanism against different stressors. Loss of p53 function renders affected individuals highly susceptible to a broad range of solid and hematologic cancers. It has recently become evident that children and adults with LFS benefit from intensive surveillance aimed at early tumor detection. In October 2016, the American Association for Cancer Research held a meeting of international LFS experts to evaluate the current knowledge on LFS and propose consensus surveillance recommendations. Herein, we briefly summarize clinical and genetic aspects of this aggressive cancer predisposition syndrome. In addition, the expert panel concludes that there are sufficient existing data to recommend that all patients with LFS be offered cancer surveillance as soon as the clinical or molecular LFS diagnosis is established. Specifically, the panel recommends adoption of a modified version of the \"Toronto protocol\" that includes a combination of physical exams, blood tests, and imaging. The panel also recommends that further research be promoted to explore the feasibility and effectiveness of these risk-adapted surveillance and cancer prevention strategies while addressing the psychosocial needs of individuals and families with LFS. Clin Cancer Res; 23(11); e38-e45. ©2017 AACRSee all articles in the online-only CCR Pediatric Oncology Series.","container-title":"Clinical Cancer Research: An Official Journal of the American Association for Cancer Research","DOI":"10.1158/1078-0432.CCR-17-0408","ISSN":"1078-0432","issue":"11","journalAbbreviation":"Clin Cancer Res","language":"eng","note":"PMID: 28572266","page":"e38-e45","source":"PubMed","title":"Cancer Screening Recommendations for Individuals with Li-Fraumeni Syndrome","volume":"23","author":[{"family":"Kratz","given":"Christian P."},{"family":"Achatz","given":"Maria Isabel"},{"family":"Brugières","given":"Laurence"},{"family":"Frebourg","given":"Thierry"},{"family":"Garber","given":"Judy E."},{"family":"Greer","given":"Mary-Louise C."},{"family":"Hansford","given":"Jordan R."},{"family":"Janeway","given":"Katherine A."},{"family":"Kohlmann","given":"Wendy K."},{"family":"McGee","given":"Rose"},{"family":"Mullighan","given":"Charles G."},{"family":"Onel","given":"Kenan"},{"family":"Pajtler","given":"Kristian W."},{"family":"Pfister","given":"Stefan M."},{"family":"Savage","given":"Sharon A."},{"family":"Schiffman","given":"Joshua D."},{"family":"Schneider","given":"Katherine A."},{"family":"Strong","given":"Louise C."},{"family":"Evans","given":"D. Gareth R."},{"family":"Wasserman","given":"Jonathan D."},{"family":"Villani","given":"Anita"},{"family":"Malkin","given":"David"}],"issued":{"date-parts":[["2017"]],"season":"01"}}},{"id":20,"uris":["http://zotero.org/users/6992411/items/J8S32F53"],"itemData":{"id":20,"type":"article-journal","abstract":"PURPOSE OF REVIEW: A significant proportion of pediatric cancer occurs in children with hereditary cancer predisposition syndromes. Their survival may be significantly improved and/or late effects diminished through screening for their greatly elevated cancer risks. Here, an overview of new developments in the field of pediatric cancer surveillance is provided.\nRECENT FINDINGS: Consensus-based screening guidelines have been developed for most syndromes associated with childhood cancer risks. Studies evaluating the clinical utility of these screening regimens have also been emerging. This review focuses on three conditions for which consensus screening recommendations have been evolving in response to new evidence: Beckwith-Wiedemann syndrome, Li-Fraumeni syndrome, and constitutional mismatch repair deficiency syndrome. For each condition, recently proposed screening guidelines and relevant evidence are described and potential future directions for improving cancer surveillance practices are anticipated. Also, the implications of several recent studies exploring the psychosocial aspects of screening in these conditions are discussed.\nSUMMARY: Significant strides have been made in cancer surveillance for children with hereditary cancer predisposition syndromes. A continued emphasis on consensus-driven screening guidelines and collaborative research evaluating the clinical utility of recommended screening methodologies will lead to further improvements in the clinical outcomes of these vulnerable children.","container-title":"Current Opinion in Pediatrics","DOI":"10.1097/MOP.0000000000000709","ISSN":"1531-698X","issue":"1","journalAbbreviation":"Curr Opin Pediatr","language":"eng","note":"PMID: 30531401","page":"41-47","source":"PubMed","title":"Updates on progress in cancer screening for children with hereditary cancer predisposition syndromes","volume":"31","author":[{"family":"Rednam","given":"Surya P."}],"issued":{"date-parts":[["2019"]]}}},{"id":599,"uris":["http://zotero.org/users/6992411/items/VWVBY5T2"],"itemData":{"id":599,"type":"article-journal","abstract":"Replication proofreading is crucial to avoid mutation accumulation in dividing cells. In humans, proofreading and replication repair is maintained by the exonuclease domains of DNA polymerases and the mismatch repair system. Individuals harboring germline mutations in genes involved in this process are at increased risk of early cancers from multiple organs. Biallelic mutations in any of the four mismatch repair genes MSH2, MSH6, MLH1, and PMS2 result in one of the most aggressive childhood cancer predisposition syndromes, termed constitutional mismatch repair deficiency or constitutional mismatch repair deficiency syndrome (CMMRD). Data gathered in the last decade allow us to better define the clinical manifestations, tumor spectrum, and diagnostic algorithms for CMMRD. In this article, we summarize this information and present a comprehensive consensus surveillance protocol for these individuals. Ongoing research will allow for further definition of replication repair-deficient cancer syndromes, assessing the cost-effectiveness of such surveillance protocols and potential therapeutic interventions for these children and families. Clin Cancer Res; 23(11); e32-e37. ©2017 AACRSee all articles in the online-only CCR Pediatric Oncology Series.","container-title":"Clinical Cancer Research: An Official Journal of the American Association for Cancer Research","DOI":"10.1158/1078-0432.CCR-17-0574","ISSN":"1557-3265","issue":"11","journalAbbreviation":"Clin Cancer Res","language":"eng","note":"PMID: 28572265","page":"e32-e37","source":"PubMed","title":"Clinical Management and Tumor Surveillance Recommendations of Inherited Mismatch Repair Deficiency in Childhood","volume":"23","author":[{"family":"Tabori","given":"Uri"},{"family":"Hansford","given":"Jordan R."},{"family":"Achatz","given":"Maria Isabel"},{"family":"Kratz","given":"Christian P."},{"family":"Plon","given":"Sharon E."},{"family":"Frebourg","given":"Thierry"},{"family":"Brugières","given":"Laurence"}],"issued":{"date-parts":[["2017",6,1]]}}}],"schema":"https://github.com/citation-style-language/schema/raw/master/csl-citation.json"} </w:instrText>
      </w:r>
      <w:r w:rsidRPr="00F970CD">
        <w:rPr>
          <w:rFonts w:ascii="Arial" w:eastAsia="Times New Roman" w:hAnsi="Arial" w:cs="Arial"/>
          <w:kern w:val="0"/>
          <w14:ligatures w14:val="none"/>
        </w:rPr>
        <w:fldChar w:fldCharType="separate"/>
      </w:r>
      <w:r w:rsidRPr="00F970CD">
        <w:rPr>
          <w:rFonts w:ascii="Arial" w:hAnsi="Arial" w:cs="Arial"/>
          <w:kern w:val="0"/>
          <w:szCs w:val="24"/>
          <w:vertAlign w:val="superscript"/>
        </w:rPr>
        <w:t>24–29</w:t>
      </w:r>
      <w:r w:rsidRPr="00F970CD">
        <w:rPr>
          <w:rFonts w:ascii="Arial" w:eastAsia="Times New Roman" w:hAnsi="Arial" w:cs="Arial"/>
          <w:kern w:val="0"/>
          <w14:ligatures w14:val="none"/>
        </w:rPr>
        <w:fldChar w:fldCharType="end"/>
      </w:r>
      <w:r w:rsidRPr="00F970CD">
        <w:rPr>
          <w:rFonts w:ascii="Arial" w:eastAsia="Times New Roman" w:hAnsi="Arial" w:cs="Arial"/>
          <w:kern w:val="0"/>
          <w14:ligatures w14:val="none"/>
        </w:rPr>
        <w:t>. Importantly, this technique avoids ionising radiation, which is important in CPS with radiosensitivity, like A-T</w:t>
      </w:r>
      <w:r w:rsidRPr="00F970CD">
        <w:rPr>
          <w:rFonts w:ascii="Arial" w:eastAsia="Times New Roman" w:hAnsi="Arial" w:cs="Arial"/>
          <w:kern w:val="0"/>
          <w14:ligatures w14:val="none"/>
        </w:rPr>
        <w:fldChar w:fldCharType="begin"/>
      </w:r>
      <w:r>
        <w:rPr>
          <w:rFonts w:ascii="Arial" w:eastAsia="Times New Roman" w:hAnsi="Arial" w:cs="Arial"/>
          <w:kern w:val="0"/>
          <w14:ligatures w14:val="none"/>
        </w:rPr>
        <w:instrText xml:space="preserve"> ADDIN ZOTERO_ITEM CSL_CITATION {"citationID":"9oSm1yiq","properties":{"formattedCitation":"\\super 13\\uc0\\u8211{}15\\nosupersub{}","plainCitation":"13–15","noteIndex":0},"citationItems":[{"id":21,"uris":["http://zotero.org/users/6992411/items/YXEK3BMS"],"itemData":{"id":21,"type":"article-journal","abstract":"OBJECTIVE: Children with cancer-predisposing conditions are at increased risk to develop and die of cancer. Limited data exist on the utility of whole-body MRI as a cancer screening tool in children. In this study, we examined the diagnostic performance of whole-body MRI as a mechanism of tumor surveillance for children at increased genetic risk for cancer.\nMATERIALS AND METHODS: Twenty-four children (six boys and 18 girls) with a mean age of 11.2 years (range, 2.1-18.2 years) underwent 50 unenhanced whole-body MRI examinations over a 5-year period. Scans were retrospectively reviewed and assessed for image quality; sequences performed; and the presence of osseous, soft-tissue, or solid organ abnormalities. Findings suggestive of a malignancy were stratified by risk as low (&lt; 20% chance for cancer), moderate (20-80%), or high (&gt; 80%). MRI findings were correlated with medical records, biopsy results, or additional follow-up imaging; biopsy and follow-up were considered as the reference standards.\nRESULTS: Forty-eight of 50 (96%) examinations were of very good quality. Nine findings suspicious for malignancy were identified, including two high-risk, two moderate-risk, and five low-risk lesions. One high-risk lesion was proven by biopsy to be a papillary thyroid carcinoma, with the remaining lesions deemed nonmalignant. The sensitivity of whole-body MRI was 100%; specificity, 94%; positive predictive value, 25%; and negative predictive value (NPV), 100%.\nCONCLUSION: Unenhanced whole-body MRI is safe and produces excellent images. The high sensitivity, specificity, and NPV make whole-body MRI a valuable cancer screening tool in children with a genetic predisposition for cancer.","container-title":"AJR. American journal of roentgenology","DOI":"10.2214/AJR.14.13663","ISSN":"1546-3141","issue":"2","journalAbbreviation":"AJR Am J Roentgenol","language":"eng","note":"PMID: 26204294","page":"400-408","source":"PubMed","title":"Diagnostic Performance of Whole-Body MRI as a Tool for Cancer Screening in Children With Genetic Cancer-Predisposing Conditions","volume":"205","author":[{"family":"Anupindi","given":"Sudha A."},{"family":"Bedoya","given":"Maria A."},{"family":"Lindell","given":"Robert B."},{"family":"Rambhatla","given":"Siri J."},{"family":"Zelley","given":"Kristin"},{"family":"Nichols","given":"Kim E."},{"family":"Chauvin","given":"Nancy A."}],"issued":{"date-parts":[["2015",8]]}}},{"id":23,"uris":["http://zotero.org/users/6992411/items/3Q7VFYII"],"itemData":{"id":23,"type":"article-journal","abstract":"Cancer predisposition syndromes increase the incidence of tumors during childhood and are associated with significant morbidity and mortality. Imaging is paramount for ensuring early detection of neoplasms, impacting therapeutic interventions and potentially improving outcome. While conventional imaging techniques involve considerable exposure to ionizing radiation, whole-body MRI is a radiation-free modality that allows continuous imaging of the entire body and has increasingly gained relevance in the surveillance, diagnosis, staging and monitoring of pediatric patients with cancer predisposition syndromes. Nevertheless, widespread implementation of whole-body MRI faces several challenges as a screening tool. Some of these challenges include developing clinical indications, variability in protocol specifications, image interpretation as well as coding and billing practices. These factors impact disease management, patient and family experience and research collaborations. In this discussion we review the aforementioned special considerations and the potential direction that might help overcome these challenges and promote more widespread use of whole-body MRI in children with cancer predisposition syndromes.","container-title":"Pediatric Radiology","DOI":"10.1007/s00247-019-04431-3","ISSN":"1432-1998","issue":"11","journalAbbreviation":"Pediatr Radiol","language":"eng","note":"PMID: 31620850","page":"1506-1515","source":"PubMed","title":"Whole-body magnetic resonance imaging of pediatric cancer predisposition syndromes: special considerations, challenges and perspective","title-short":"Whole-body magnetic resonance imaging of pediatric cancer predisposition syndromes","volume":"49","author":[{"family":"Saade-Lemus","given":"Sandra"},{"family":"Degnan","given":"Andrew J."},{"family":"Acord","given":"Michael R."},{"family":"Srinivasan","given":"Abhay S."},{"family":"Reid","given":"Janet R."},{"family":"Servaes","given":"Sabah E."},{"family":"States","given":"Lisa J."},{"family":"Anupindi","given":"Sudha A."}],"issued":{"date-parts":[["2019"]]}}},{"id":288,"uris":["http://zotero.org/users/6992411/items/2AMGBNTI"],"itemData":{"id":288,"type":"article-journal","abstract":"Pediatric whole-body (WB) magnetic resonance imaging (MRI) is an established technique that, with improved accessibility and advances in technology, is being used with increasing frequency for a wide variety of applications. The advantages of WB MRI (over other imaging modalities), particularly its lack of ionizing radiation (of particular concern in pediatric imaging due to children's increased sensitivity to ionizing radiation) and the ability of MRI to image the bone marrow, solid organs, and soft tissues with superior soft-tissue contrast resolution to other techniques, promise that WB MRI has great potential in conditions that are diffuse or multifocal. There is particular interest in its role in the field of pediatric oncology (eg, lymphoma, neuroblastoma, sarcoma, and Langerhans cell histiocytosis). The main disadvantages of WB MRI are its relatively long scanning times, artifacts from motion (requiring patient cooperation or general anesthesia), and limited specificity. However, advances in hardware and imaging techniques, including additional sequences (out-of-phase imaging, diffusion-weighted imaging, and contrast enhancement) are reducing the impact of some of these challenges.","container-title":"Journal of Pediatric Hematology/Oncology","DOI":"10.1097/MPH.0000000000000031","ISSN":"1536-3678","issue":"5","journalAbbreviation":"J Pediatr Hematol Oncol","language":"eng","note":"PMID: 24072253","page":"342-352","source":"PubMed","title":"The role of whole-body MRI in pediatric oncology","volume":"36","author":[{"family":"Atkin","given":"Karen L."},{"family":"Ditchfield","given":"Michael R."}],"issued":{"date-parts":[["2014",7]]}}}],"schema":"https://github.com/citation-style-language/schema/raw/master/csl-citation.json"} </w:instrText>
      </w:r>
      <w:r w:rsidRPr="00F970CD">
        <w:rPr>
          <w:rFonts w:ascii="Arial" w:eastAsia="Times New Roman" w:hAnsi="Arial" w:cs="Arial"/>
          <w:kern w:val="0"/>
          <w14:ligatures w14:val="none"/>
        </w:rPr>
        <w:fldChar w:fldCharType="separate"/>
      </w:r>
      <w:r w:rsidRPr="00F970CD">
        <w:rPr>
          <w:rFonts w:ascii="Arial" w:hAnsi="Arial" w:cs="Arial"/>
          <w:kern w:val="0"/>
          <w:szCs w:val="24"/>
          <w:vertAlign w:val="superscript"/>
        </w:rPr>
        <w:t>13–15</w:t>
      </w:r>
      <w:r w:rsidRPr="00F970CD">
        <w:rPr>
          <w:rFonts w:ascii="Arial" w:eastAsia="Times New Roman" w:hAnsi="Arial" w:cs="Arial"/>
          <w:kern w:val="0"/>
          <w14:ligatures w14:val="none"/>
        </w:rPr>
        <w:fldChar w:fldCharType="end"/>
      </w:r>
      <w:r w:rsidRPr="00F970CD">
        <w:rPr>
          <w:rFonts w:ascii="Arial" w:eastAsia="Times New Roman" w:hAnsi="Arial" w:cs="Arial"/>
          <w:kern w:val="0"/>
          <w14:ligatures w14:val="none"/>
        </w:rPr>
        <w:t>.</w:t>
      </w:r>
    </w:p>
    <w:p w14:paraId="14DC12EB" w14:textId="77777777" w:rsidR="00C14E38" w:rsidRPr="00F970CD" w:rsidRDefault="00C14E38" w:rsidP="00C14E38">
      <w:pPr>
        <w:spacing w:after="0" w:line="480" w:lineRule="auto"/>
        <w:jc w:val="both"/>
        <w:rPr>
          <w:rFonts w:ascii="Arial" w:eastAsia="Times New Roman" w:hAnsi="Arial" w:cs="Arial"/>
          <w:kern w:val="0"/>
          <w14:ligatures w14:val="none"/>
        </w:rPr>
      </w:pPr>
    </w:p>
    <w:p w14:paraId="59CE8854" w14:textId="77777777" w:rsidR="00C14E38" w:rsidRPr="00F970CD" w:rsidRDefault="00C14E38" w:rsidP="00C14E38">
      <w:pPr>
        <w:spacing w:after="0" w:line="480" w:lineRule="auto"/>
        <w:jc w:val="both"/>
        <w:rPr>
          <w:rFonts w:ascii="Arial" w:eastAsia="Times New Roman" w:hAnsi="Arial" w:cs="Arial"/>
          <w:kern w:val="0"/>
          <w14:ligatures w14:val="none"/>
        </w:rPr>
      </w:pPr>
      <w:r w:rsidRPr="00F970CD">
        <w:rPr>
          <w:rFonts w:ascii="Arial" w:eastAsia="Times New Roman" w:hAnsi="Arial" w:cs="Arial"/>
          <w:kern w:val="0"/>
          <w14:ligatures w14:val="none"/>
        </w:rPr>
        <w:t>People with A-T and their families already have the worry of living with a chronic life-limiting childhood-onset disease with a poor overall prognosis and progressive physical disability</w:t>
      </w:r>
      <w:r w:rsidRPr="00F970CD">
        <w:rPr>
          <w:rFonts w:ascii="Arial" w:eastAsia="Times New Roman" w:hAnsi="Arial" w:cs="Arial"/>
          <w:kern w:val="0"/>
          <w14:ligatures w14:val="none"/>
        </w:rPr>
        <w:fldChar w:fldCharType="begin"/>
      </w:r>
      <w:r>
        <w:rPr>
          <w:rFonts w:ascii="Arial" w:eastAsia="Times New Roman" w:hAnsi="Arial" w:cs="Arial"/>
          <w:kern w:val="0"/>
          <w14:ligatures w14:val="none"/>
        </w:rPr>
        <w:instrText xml:space="preserve"> ADDIN ZOTERO_ITEM CSL_CITATION {"citationID":"h0ByWm7O","properties":{"formattedCitation":"\\super 1,3,4\\nosupersub{}","plainCitation":"1,3,4","noteIndex":0},"citationItems":[{"id":66,"uris":["http://zotero.org/users/6992411/items/Z67Y6AEP"],"itemData":{"id":66,"type":"article-journal","abstract":"Definition of the disease\nAtaxia telangiectasia (A-T) is an autosomal recessive disorder primarily characterized by cerebellar degeneration, telangiectasia, immunodeficiency, cancer susceptibility and radiation sensitivity. A-T is often referred to as a genome instability or DNA damage response syndrome.\n\nEpidemiology\nThe world-wide prevalence of A-T is estimated to be between 1 in 40,000 and 1 in 100,000 live births.\n\nClinical description\nA-T is a complex disorder with substantial variability in the severity of features between affected individuals, and at different ages. Neurological symptoms most often first appear in early childhood when children begin to sit or walk. They have immunological abnormalities including immunoglobulin and antibody deficiencies and lymphopenia. People with A-T have an increased predisposition for cancers, particularly of lymphoid origin. Pulmonary disease and problems with feeding, swallowing and nutrition are common, and there also may be dermatological and endocrine manifestations.\n\nEtiology\nA-T is caused by mutations in the ATM (Ataxia Telangiectasia, Mutated) gene which encodes a protein of the same name. The primary role of the ATM protein is coordination of cellular signaling pathways in response to DNA double strand breaks, oxidative stress and other genotoxic stress.\n\nDiagnosis\nThe diagnosis of A-T is usually suspected by the combination of neurologic clinical features (ataxia, abnormal control of eye movement, and postural instability) with one or more of the following which may vary in their appearance: telangiectasia, frequent sinopulmonary infections and specific laboratory abnormalities (e.g. IgA deficiency, lymphopenia especially affecting T lymphocytes and increased alpha-fetoprotein levels). Because certain neurological features may arise later, a diagnosis of A-T should be carefully considered for any ataxic child with an otherwise elusive diagnosis. A diagnosis of A-T can be confirmed by the finding of an absence or deficiency of the ATM protein or its kinase activity in cultured cell lines, and/or identification of the pathological mutations in the ATM gene.\n\nDifferential diagnosis\nThere are several other neurologic and rare disorders that physicians must consider when diagnosing A-T and that can be confused with A-T. Differentiation of these various disorders is often possible with clinical features and selected laboratory tests, including gene sequencing.\n\nAntenatal diagnosis\nAntenatal diagnosis can be performed if the pathological ATM mutations in that family have been identified in an affected child. In the absence of identifying mutations, antenatal diagnosis can be made by haplotype analysis if an unambiguous diagnosis of the affected child has been made through clinical and laboratory findings and/or ATM protein analysis.\n\nGenetic counseling\nGenetic counseling can help family members of a patient with A-T understand when genetic testing for A-T is feasible, and how the test results should be interpreted.\n\nManagement and prognosis\nTreatment of the neurologic problems associated with A-T is symptomatic and supportive, as there are no treatments known to slow or stop the neurodegeneration. However, other manifestations of A-T, e.g. immunodeficiency, pulmonary disease, failure to thrive and diabetes can be treated effectively.","container-title":"Orphanet Journal of Rare Diseases","DOI":"10.1186/s13023-016-0543-7","ISSN":"1750-1172","journalAbbreviation":"Orphanet J Rare Dis","note":"PMID: 27884168\nPMCID: PMC5123280","source":"PubMed Central","title":"Ataxia telangiectasia: a review","title-short":"Ataxia telangiectasia","URL":"https://www.ncbi.nlm.nih.gov/pmc/articles/PMC5123280/","volume":"11","author":[{"family":"Rothblum-Oviatt","given":"Cynthia"},{"family":"Wright","given":"Jennifer"},{"family":"Lefton-Greif","given":"Maureen A."},{"family":"McGrath-Morrow","given":"Sharon A."},{"family":"Crawford","given":"Thomas O."},{"family":"Lederman","given":"Howard M."}],"accessed":{"date-parts":[["2020",11,24]]},"issued":{"date-parts":[["2016",11,25]]}}},{"id":58,"uris":["http://zotero.org/users/6992411/items/4M4V2T3L"],"itemData":{"id":58,"type":"article-journal","abstract":"INTRODUCTION: Ataxia-telangiectasia (A-T) is a rare autosomal recessive syndrome characterized by progressive cerebellar ataxia, oculocutaneous telangiectasia, variable immunodeficiency, radiosensitivity, and cancer predisposition. Mutations cause A-T in the ataxia telangiectasia mutated (ATM) gene encoding a serine/threonine-protein kinase.\nAREAS COVERED: The authors reviewed the literature on PubMed, Web of Science, and Scopus databases to collect comprehensive data related to A-T. This review aims to discuss various update aspects of A-T, including epidemiology, pathogenesis, clinical manifestations, diagnosis, prognosis, and management.\nEXPERT OPINION: A-T as a congenital disorder has phenotypic heterogeneity, and the severity of symptoms in different patients depends on the severity of mutations. This review provides a comprehensive overview of A-T, although some relevant questions about pathogenesis remain unanswered, probably owing to the phenotypic heterogeneity of this monogenic disorder. The presence of various clinical and immunologic manifestations in A-T indicates that the identification of the role of defective ATM in phenotype can be helpful in the better management and treatment of patients in the future.","container-title":"Expert Review of Clinical Immunology","DOI":"10.1080/1744666X.2020.1810570","ISSN":"1744-8409","journalAbbreviation":"Expert Rev Clin Immunol","language":"eng","note":"PMID: 32791865","page":"1-13","source":"PubMed","title":"Ataxia-telangiectasia: epidemiology, pathogenesis, clinical phenotype, diagnosis, prognosis and management","title-short":"Ataxia-telangiectasia","author":[{"family":"Amirifar","given":"Parisa"},{"family":"Ranjouri","given":"Mohammad Reza"},{"family":"Lavin","given":"Martin"},{"family":"Abolhassani","given":"Hassan"},{"family":"Yazdani","given":"Reza"},{"family":"Aghamohammadi","given":"Asghar"}],"issued":{"date-parts":[["2020",10,15]]}}},{"id":561,"uris":["http://zotero.org/users/6992411/items/AMJUEE4F"],"itemData":{"id":561,"type":"chapter","abstract":"Classic ataxia-telangiectasia (A-T) is characterized by progressive cerebellar ataxia beginning between ages one and four years, oculomotor apraxia, choreoathetosis, telangiectasias of the conjunctivae, immunodeficiency, frequent infections, and an increased risk for malignancy, particularly leukemia and lymphoma. Individuals with A-T are unusually sensitive to ionizing radiation. Non-classic forms of A-T have included adult-onset A-T and A-T with early-onset dystonia., The diagnosis of A-T is suspected based on suggestive clinical and preliminary laboratory findings and – in some instances – neuroimaging and family history. The diagnosis is established in a proband either by molecular genetic testing to document the presence of biallelic (homozygous or compound heterozygous) ATM pathogenic variants or (when available) by immunoblotting to test for absent or reduced ATM protein., \nTreatment of manifestations:\n Neurologic: supportive therapy and medications (when possible) as well as early and continued physical therapy to reduce the risk for contractures and scoliosis. Immunodeficiency: IVIG replacement therapy as needed for (a) frequent and severe infections and (b) low IgG levels. Pulmonary: multidisciplinary management that emphasizes monitoring of recurrent infection, pulmonary function, swallowing, nutrition, scoliosis, and immune function. Cancer: because of the increased sensitivity of A-T cells, use of ionizing radiation and some chemotherapeutic agents requires careful monitoring. Prevention of secondary complications: Gastrostomy tube feedings are occasionally needed to prevent pulmonary and nutritional complications of dysphagia. Attention to potential risks of anesthesia including impaired swallowing, increased risk of aspiration, reduced pulmonary function, and infection. Surveillance: In those with severe recurrent infections or undergoing immunomodulatory therapy: monitoring of pulmonary function and other signs of pulmonary disease and early signs of malignancy (e.g., weight loss, bruising, localized pain or swelling)., A-T is inherited in an autosomal recessive manner. At conception, the sibs of an affected individual have a 25% chance of being affected, a 50% chance of being asymptomatic carriers, and a 25% chance of being unaffected and not carriers. ATM heterozygotes (carriers) are at increased risk of developing cancer. Once the ATM pathogenic variants have been identified in an affected family member, carrier testing for at-risk relatives, prenatal testing for a pregnancy at increased risk, and preimplantation genetic testing are possible.","call-number":"NBK26468","container-title":"GeneReviews®","event-place":"Seattle (WA)","language":"eng","license":"Copyright © 1993-2022, University of Washington, Seattle. GeneReviews is a registered trademark of the University of Washington, Seattle. All rights reserved.","note":"PMID: 20301790","publisher":"University of Washington, Seattle","publisher-place":"Seattle (WA)","source":"PubMed","title":"Ataxia-Telangiectasia","URL":"http://www.ncbi.nlm.nih.gov/books/NBK26468/","author":[{"family":"Gatti","given":"Richard"},{"family":"Perlman","given":"Susan"}],"editor":[{"family":"Adam","given":"Margaret P."},{"family":"Ardinger","given":"Holly H."},{"family":"Pagon","given":"Roberta A."},{"family":"Wallace","given":"Stephanie E."},{"family":"Bean","given":"Lora JH"},{"family":"Gripp","given":"Karen W."},{"family":"Mirzaa","given":"Ghayda M."},{"family":"Amemiya","given":"Anne"}],"accessed":{"date-parts":[["2022",4,8]]},"issued":{"date-parts":[["1993"]]}}}],"schema":"https://github.com/citation-style-language/schema/raw/master/csl-citation.json"} </w:instrText>
      </w:r>
      <w:r w:rsidRPr="00F970CD">
        <w:rPr>
          <w:rFonts w:ascii="Arial" w:eastAsia="Times New Roman" w:hAnsi="Arial" w:cs="Arial"/>
          <w:kern w:val="0"/>
          <w14:ligatures w14:val="none"/>
        </w:rPr>
        <w:fldChar w:fldCharType="separate"/>
      </w:r>
      <w:r w:rsidRPr="00F970CD">
        <w:rPr>
          <w:rFonts w:ascii="Arial" w:hAnsi="Arial" w:cs="Arial"/>
          <w:kern w:val="0"/>
          <w:szCs w:val="24"/>
          <w:vertAlign w:val="superscript"/>
        </w:rPr>
        <w:t>1,3,4</w:t>
      </w:r>
      <w:r w:rsidRPr="00F970CD">
        <w:rPr>
          <w:rFonts w:ascii="Arial" w:eastAsia="Times New Roman" w:hAnsi="Arial" w:cs="Arial"/>
          <w:kern w:val="0"/>
          <w14:ligatures w14:val="none"/>
        </w:rPr>
        <w:fldChar w:fldCharType="end"/>
      </w:r>
      <w:r w:rsidRPr="00F970CD">
        <w:rPr>
          <w:rFonts w:ascii="Arial" w:eastAsia="Times New Roman" w:hAnsi="Arial" w:cs="Arial"/>
          <w:kern w:val="0"/>
          <w14:ligatures w14:val="none"/>
        </w:rPr>
        <w:t>.</w:t>
      </w:r>
      <w:r w:rsidRPr="00F970CD">
        <w:rPr>
          <w:rFonts w:ascii="Arial" w:hAnsi="Arial" w:cs="Arial"/>
          <w:kern w:val="0"/>
          <w14:ligatures w14:val="none"/>
        </w:rPr>
        <w:t xml:space="preserve"> </w:t>
      </w:r>
      <w:r w:rsidRPr="00F970CD">
        <w:rPr>
          <w:rFonts w:ascii="Arial" w:eastAsia="Times New Roman" w:hAnsi="Arial" w:cs="Arial"/>
          <w:kern w:val="0"/>
          <w14:ligatures w14:val="none"/>
        </w:rPr>
        <w:t xml:space="preserve">A cancer surveillance programme could add to this burden with a detrimental effect on both </w:t>
      </w:r>
      <w:r w:rsidRPr="00F970CD">
        <w:rPr>
          <w:rFonts w:ascii="Arial" w:eastAsia="Times New Roman" w:hAnsi="Arial" w:cs="Arial"/>
          <w:kern w:val="0"/>
          <w14:ligatures w14:val="none"/>
        </w:rPr>
        <w:lastRenderedPageBreak/>
        <w:t>the child with A-T and their family members. It is recognised that surveillance tests can increase anxiety due to the possibility of finding cancer or other pathologies</w:t>
      </w:r>
      <w:r w:rsidRPr="00F970CD">
        <w:rPr>
          <w:rFonts w:ascii="Arial" w:eastAsia="Times New Roman" w:hAnsi="Arial" w:cs="Arial"/>
          <w:kern w:val="0"/>
          <w14:ligatures w14:val="none"/>
        </w:rPr>
        <w:fldChar w:fldCharType="begin"/>
      </w:r>
      <w:r>
        <w:rPr>
          <w:rFonts w:ascii="Arial" w:eastAsia="Times New Roman" w:hAnsi="Arial" w:cs="Arial"/>
          <w:kern w:val="0"/>
          <w14:ligatures w14:val="none"/>
        </w:rPr>
        <w:instrText xml:space="preserve"> ADDIN ZOTERO_ITEM CSL_CITATION {"citationID":"D7MIff5x","properties":{"formattedCitation":"\\super 14\\nosupersub{}","plainCitation":"14","noteIndex":0},"citationItems":[{"id":23,"uris":["http://zotero.org/users/6992411/items/3Q7VFYII"],"itemData":{"id":23,"type":"article-journal","abstract":"Cancer predisposition syndromes increase the incidence of tumors during childhood and are associated with significant morbidity and mortality. Imaging is paramount for ensuring early detection of neoplasms, impacting therapeutic interventions and potentially improving outcome. While conventional imaging techniques involve considerable exposure to ionizing radiation, whole-body MRI is a radiation-free modality that allows continuous imaging of the entire body and has increasingly gained relevance in the surveillance, diagnosis, staging and monitoring of pediatric patients with cancer predisposition syndromes. Nevertheless, widespread implementation of whole-body MRI faces several challenges as a screening tool. Some of these challenges include developing clinical indications, variability in protocol specifications, image interpretation as well as coding and billing practices. These factors impact disease management, patient and family experience and research collaborations. In this discussion we review the aforementioned special considerations and the potential direction that might help overcome these challenges and promote more widespread use of whole-body MRI in children with cancer predisposition syndromes.","container-title":"Pediatric Radiology","DOI":"10.1007/s00247-019-04431-3","ISSN":"1432-1998","issue":"11","journalAbbreviation":"Pediatr Radiol","language":"eng","note":"PMID: 31620850","page":"1506-1515","source":"PubMed","title":"Whole-body magnetic resonance imaging of pediatric cancer predisposition syndromes: special considerations, challenges and perspective","title-short":"Whole-body magnetic resonance imaging of pediatric cancer predisposition syndromes","volume":"49","author":[{"family":"Saade-Lemus","given":"Sandra"},{"family":"Degnan","given":"Andrew J."},{"family":"Acord","given":"Michael R."},{"family":"Srinivasan","given":"Abhay S."},{"family":"Reid","given":"Janet R."},{"family":"Servaes","given":"Sabah E."},{"family":"States","given":"Lisa J."},{"family":"Anupindi","given":"Sudha A."}],"issued":{"date-parts":[["2019"]]}}}],"schema":"https://github.com/citation-style-language/schema/raw/master/csl-citation.json"} </w:instrText>
      </w:r>
      <w:r w:rsidRPr="00F970CD">
        <w:rPr>
          <w:rFonts w:ascii="Arial" w:eastAsia="Times New Roman" w:hAnsi="Arial" w:cs="Arial"/>
          <w:kern w:val="0"/>
          <w14:ligatures w14:val="none"/>
        </w:rPr>
        <w:fldChar w:fldCharType="separate"/>
      </w:r>
      <w:r w:rsidRPr="00F970CD">
        <w:rPr>
          <w:rFonts w:ascii="Arial" w:hAnsi="Arial" w:cs="Arial"/>
          <w:kern w:val="0"/>
          <w:szCs w:val="24"/>
          <w:vertAlign w:val="superscript"/>
        </w:rPr>
        <w:t>14</w:t>
      </w:r>
      <w:r w:rsidRPr="00F970CD">
        <w:rPr>
          <w:rFonts w:ascii="Arial" w:eastAsia="Times New Roman" w:hAnsi="Arial" w:cs="Arial"/>
          <w:kern w:val="0"/>
          <w14:ligatures w14:val="none"/>
        </w:rPr>
        <w:fldChar w:fldCharType="end"/>
      </w:r>
      <w:r w:rsidRPr="00F970CD">
        <w:rPr>
          <w:rFonts w:ascii="Arial" w:eastAsia="Times New Roman" w:hAnsi="Arial" w:cs="Arial"/>
          <w:kern w:val="0"/>
          <w14:ligatures w14:val="none"/>
        </w:rPr>
        <w:t>.</w:t>
      </w:r>
      <w:r w:rsidRPr="00F970CD">
        <w:rPr>
          <w:rFonts w:ascii="Arial" w:hAnsi="Arial" w:cs="Arial"/>
          <w:kern w:val="0"/>
          <w14:ligatures w14:val="none"/>
        </w:rPr>
        <w:t xml:space="preserve"> </w:t>
      </w:r>
      <w:r w:rsidRPr="00F970CD">
        <w:rPr>
          <w:rFonts w:ascii="Arial" w:eastAsia="Times New Roman" w:hAnsi="Arial" w:cs="Arial"/>
          <w:kern w:val="0"/>
          <w14:ligatures w14:val="none"/>
        </w:rPr>
        <w:t>Data from screening trials related to other CPS have demonstrated mixed psychosocial effects: although anxiety, depression and cancer worry were reported, overall the levels of satisfaction and acceptability were higher</w:t>
      </w:r>
      <w:r w:rsidRPr="00F970CD">
        <w:rPr>
          <w:rFonts w:ascii="Arial" w:eastAsia="Times New Roman" w:hAnsi="Arial" w:cs="Arial"/>
          <w:kern w:val="0"/>
          <w14:ligatures w14:val="none"/>
        </w:rPr>
        <w:fldChar w:fldCharType="begin"/>
      </w:r>
      <w:r>
        <w:rPr>
          <w:rFonts w:ascii="Arial" w:eastAsia="Times New Roman" w:hAnsi="Arial" w:cs="Arial"/>
          <w:kern w:val="0"/>
          <w14:ligatures w14:val="none"/>
        </w:rPr>
        <w:instrText xml:space="preserve"> ADDIN ZOTERO_ITEM CSL_CITATION {"citationID":"YZtGtPMY","properties":{"formattedCitation":"\\super 30\\uc0\\u8211{}33\\nosupersub{}","plainCitation":"30–33","noteIndex":0},"citationItems":[{"id":200,"uris":["http://zotero.org/users/6992411/items/63V8Q3DL"],"itemData":{"id":200,"type":"article-journal","abstract":"Background Germline TP53 gene pathogenic variants (pv) cause a very high lifetime risk of developing cancer, almost 100% for women and 75% for men. In the UK, annual MRI breast screening is recommended for female TP53 pv carriers. The SIGNIFY study (Magnetic Resonance Imaging screening in Li Fraumeni syndrome: An exploratory whole body MRI) study reported outcomes of whole-body MRI (WB-MRI) in a cohort of 44 TP53 pv carriers and 44 matched population controls. The results supported the use of a baseline WB-MRI screen in all adult TP53 pv carriers. Here we report the acceptability of WB-MRI screening and effects on psychosocial functioning and health-related quality of life in the short and medium terms.\nMethods Psychosocial and other assessments were carried out at study enrolment, immediately before MRI, before and after MRI results, and at 12, 26 and 52 weeks’ follow-up.\nResults WB-MRI was found to be acceptable with high levels of satisfaction and low levels of psychological morbidity throughout. Although their mean levels of cancer worry were not high, carriers had significantly more cancer worry at most time-points than controls. They also reported significantly more clinically significant intrusive and avoidant thoughts about cancer than controls at all time-points. There were no clinically significant adverse psychosocial outcomes in either carriers with a history of cancer or in those requiring further investigations.\nConclusion WB-MRI screening can be implemented in TP53 pv carriers without adverse psychosocial outcomes in the short and medium terms. A previous cancer diagnosis may predict a better psychosocial outcome. Some carriers seriously underestimate their risk of cancer. Carriers of pv should have access to a clinician to help them develop adaptive strategies to cope with cancer-related concerns and respond to clinically significant depression and/or anxiety.","container-title":"Journal of Medical Genetics","DOI":"10.1136/jmedgenet-2019-106407","ISSN":"0022-2593, 1468-6244","issue":"4","language":"en","license":"© Author(s) (or their employer(s)) 2020. Re-use permitted under CC BY-NC. No commercial re-use. See rights and permissions. Published by BMJ.. http://creativecommons.org/licenses/by-nc/4.0/This is an open access article distributed in accordance with the Creative Commons Attribution Non Commercial (CC BY-NC 4.0) license, which permits others to distribute, remix, adapt, build upon this work non-commercially, and license their derivative works on different terms, provided the original work is properly cited, appropriate credit is given, any changes made indicated, and the use is non-commercial. See: http://creativecommons.org/licenses/by-nc/4.0/.","note":"publisher: BMJ Publishing Group Ltd\nsection: Cancer genetics\nPMID: 31719169","page":"226-236","source":"jmg.bmj.com","title":"Psychosocial effects of whole-body MRI screening in adult high-risk pathogenic TP53 mutation carriers: a case-controlled study (SIGNIFY)","title-short":"Psychosocial effects of whole-body MRI screening in adult high-risk pathogenic TP53 mutation carriers","volume":"57","author":[{"family":"Bancroft","given":"Elizabeth K."},{"family":"Saya","given":"Sibel"},{"family":"Brown","given":"Emma"},{"family":"Thomas","given":"Sarah"},{"family":"Taylor","given":"Natalie"},{"family":"Rothwell","given":"Jeanette"},{"family":"Pope","given":"Jennifer"},{"family":"Chamberlain","given":"Anthony"},{"family":"Page","given":"Elizabeth"},{"family":"Benafif","given":"Sarah"},{"family":"Hanson","given":"Helen"},{"family":"Dias","given":"Alexander"},{"family":"Mikropoulos","given":"Christos"},{"family":"Izatt","given":"Louise"},{"family":"Side","given":"Lucy"},{"family":"Walker","given":"Lisa"},{"family":"Donaldson","given":"Alan"},{"family":"Cook","given":"Jackie A."},{"family":"Barwell","given":"Julian"},{"family":"Wiles","given":"Vicki"},{"family":"Limb","given":"Lauren"},{"family":"Eccles","given":"Diana M."},{"family":"Leach","given":"Martin O."},{"family":"Shanley","given":"Susan"},{"family":"Gilbert","given":"Fiona J."},{"family":"Gallagher","given":"David"},{"family":"Rajashanker","given":"Balashanmugam"},{"family":"Whitehouse","given":"Richard W."},{"family":"Koh","given":"Dow-Mu"},{"family":"Sohaib","given":"S. Aslam"},{"family":"Evans","given":"D. Gareth"},{"family":"Eeles","given":"Rosalind A."},{"family":"Walker","given":"Leslie G."}],"issued":{"date-parts":[["2020",4,1]]}}},{"id":215,"uris":["http://zotero.org/users/6992411/items/5E3EELAY"],"itemData":{"id":215,"type":"article-journal","abstract":"Germline TP53 mutation carriers are at high risk of developing a range of cancers. Effective cancer risk management is an important issue for these individuals. We assessed the psychosocial impact in TP53 mutation carriers of WB-MRI screening as part of the Surveillance in Multi-Organ Cancer (SMOC+) protocol, measuring their unmet needs, anxiety and depression levels as well as cancer worry using psychological questionnaires and in-depth interviews about their experiences of screening. We present preliminary psychosocial findings from 17 participants during their first 12 months on the trial. We found a significant reduction in participants' mean anxiety from baseline to two weeks post WB-MRI (1.2, 95% CI 0.17 to 2.23 p = 0.025), indicative of some benefit. Emerging qualitative themes show most participants are emotionally supported and contained by the screening program and are motivated by their immediate concern about staying alive, despite being informed about the current lack of evidence around efficacy of screening for people with TP53 mutations in terms of cancer morbidity or mortality. For those that do gain emotional reassurance from participating in the screening study, feelings of abandonment by the research team are a risk when the study ends. For others, screening was seen as a burden, consistent with the relentless nature of cancer risk associated with Li-Fraumeni syndrome, though these patients still declared they wished to participate due to their concern with staying alive. Families with TP53 mutations need ongoing support due to the impact on the whole family system. These findings suggest a comprehensive multi-organ screening program for people with TP53 mutations provides psychological benefit independent of an impact on cancer morbidity and mortality associated with the syndrome. The benefits of a multi-organ screening program will be greater still if the screening tests additionally reduce the cancer morbidity and mortality associated with the syndrome. These findings may also inform the care of individuals and families with other multi-organ cancer predisposition syndromes.","container-title":"Familial Cancer","DOI":"10.1007/s10689-016-9964-7","ISSN":"1573-7292","issue":"3","journalAbbreviation":"Fam Cancer","language":"eng","note":"PMID: 28124295","page":"423-432","source":"PubMed","title":"Psychosocial morbidity in TP53 mutation carriers: is whole-body cancer screening beneficial?","title-short":"Psychosocial morbidity in TP53 mutation carriers","volume":"16","author":[{"family":"McBride","given":"Kate A."},{"family":"Ballinger","given":"Mandy L."},{"family":"Schlub","given":"Timothy E."},{"family":"Young","given":"Mary-Anne"},{"family":"Tattersall","given":"Martin H. N."},{"family":"Kirk","given":"Judy"},{"family":"Eeles","given":"Ros"},{"family":"Killick","given":"Emma"},{"family":"Walker","given":"Leslie G."},{"family":"Shanley","given":"Sue"},{"family":"Thomas","given":"David M."},{"family":"Mitchell","given":"Gillian"}],"issued":{"date-parts":[["2017",7]]}}},{"id":423,"uris":["http://zotero.org/users/6992411/items/LXEDI9FP"],"itemData":{"id":423,"type":"article-journal","abstract":"PURPOSE: Individuals with cancer predisposition syndromes (CPS) are often followed in cancer screening programs, which aim to detect early stage tumors. While cancer surveillance has the potential to improve patient outcomes, its psychosocial impact is uncharacterized in the pediatric population. We examined the cancer surveillance experience from the perspectives of adolescents and parents of children at risk of developing cancer.\nPATIENTS AND METHODS: Using grounded theory and thematic analysis qualitative methodology, we conducted semi-structured interviews with parents and adolescents, separately. Interviews were transcribed verbatim and coded separately to derive overlapping and unique themes.\nRESULTS: We completed 20 semi-structured interviews (11 parents and nine adolescents). Positive experiences were related to feelings of reassurance and taking a proactive approach. Both adolescents and parents experienced worry, related to practical aspects of screening, and related to the reminder of cancer risk that manifests with surveillance appointments. This worry was cyclical, associated with appointments, and generally waned over time. Participants felt that the benefits of surveillance outweighed perceived challenges. Open communication with health care providers, and equipping parents/adolescents with vocabulary to discuss their diagnosis and care with others, were felt to be important for mitigating worries associated with cancer risk and surveillance.\nCONCLUSION: Parents and adolescents experience worry associated with surveillance for CPS, which may warrant regular psychosocial support, particularly during the first year following CPS diagnosis. Enhancing communication with the health care team and among and beyond immediate family members represents an additional important strategy to mitigate adverse experiences and perceptions.","container-title":"Pediatric Blood &amp; Cancer","DOI":"10.1002/pbc.29021","ISSN":"1545-5017","issue":"8","journalAbbreviation":"Pediatr Blood Cancer","language":"eng","note":"PMID: 33788392","page":"e29021","source":"PubMed","title":"Tumor surveillance for children and adolescents with cancer predisposition syndromes: The psychosocial impact reported by adolescents and caregivers","title-short":"Tumor surveillance for children and adolescents with cancer predisposition syndromes","volume":"68","author":[{"family":"Engelen","given":"Kalene","non-dropping-particle":"van"},{"family":"Barrera","given":"Maru"},{"family":"Wasserman","given":"Jonathan D."},{"family":"Armel","given":"Susan Randall"},{"family":"Chitayat","given":"David"},{"family":"Druker","given":"Harriet"},{"family":"Gallinger","given":"Bailey"},{"family":"Malkin","given":"David"},{"family":"Villani","given":"Anita"}],"issued":{"date-parts":[["2021",8]]}}},{"id":768,"uris":["http://zotero.org/users/6992411/items/4WXXIPAG"],"itemData":{"id":768,"type":"article-journal","abstract":"BACKGROUND: To evaluate the psychosocial consequences of surveillance with whole-body MRI (WB-MRI) in individuals with the heritable TP53-related cancer (hTP53rc) syndrome, also known as the Li-Fraumeni syndrome, with regard to cancer worry, perceived benefits and risks to surveillance and overall health.\nPATIENTS AND METHODS: Since 2016, the national Swedish TP53 Study (SWEP53) has offered surveillance with WB-MRI to all individuals with hTP53rc syndrome. Seventy-five individuals have been included in the study. Sixty consecutive participants fulfilled a base-line evaluation as well as an evaluation after 1 year with structured questionnaires including the Cancer Worry Scale (CWS), perceived benefits and risks of surveillance, and the 36-item Short Form Survey (SF-36). Individuals with or without previous personal cancer diagnosis were enrolled and results at baseline and after 1 year of surveillance were compared. For SF-36, a comparison with the normal population was also made.\nRESULTS: Participants with previous cancer tend to worry more about cancer, but both individuals with and without cancer had a positive attitude toward surveillance with no differences regarding perceived benefits and barriers to surveillance. Participants with a previous cancer scored significantly lower on some of the SF-36 subscales, but between-group differences were found only for social functioning after 1 year.\nCONCLUSIONS: Surveillance with WB-MRI is feasible from a psychosocial point of view both among TP53 carriers with as well as without a previous history of cancer and does not increase cancer worry in any of the groups.\nPLAIN LANGUAGE SUMMARY: Individuals with heritable TP53-related cancer syndrome (also known as the Li-Fraumeni syndrome) have a high lifetime risk of developing cancer. These TP53 carriers are offered surveillance with whole-body MRI to detect cancer early. There are few reports of the psychosocial impact of surveillance. In this study, we wanted to evaluate cancer worry, benefits and barriers to participation, and perceived overall health. Our study shows no increase in cancer worry after 1 year of surveillance, regardless of previous cancer.","container-title":"Cancer","DOI":"10.1002/cncr.34631","ISSN":"1097-0142","journalAbbreviation":"Cancer","language":"eng","note":"PMID: 36601958","source":"PubMed","title":"Whole-body MRI surveillance in TP53 carriers is perceived as beneficial with no increase in cancer worry regardless of previous cancer: Data from the Swedish TP53 Study","title-short":"Whole-body MRI surveillance in TP53 carriers is perceived as beneficial with no increase in cancer worry regardless of previous cancer","author":[{"family":"Omran","given":"Meis"},{"family":"Johansson","given":"Hemming"},{"family":"Lundgren","given":"Claudia"},{"family":"Silander","given":"Gustav"},{"family":"Stenmark-Askmalm","given":"Marie"},{"family":"Loman","given":"Niklas"},{"family":"Baan","given":"Annika"},{"family":"Adra","given":"Jamila"},{"family":"Kuchinskaya","given":"Ekaterina"},{"family":"Blomqvist","given":"Lennart"},{"family":"Tham","given":"Emma"},{"family":"Bajalica-Lagercrantz","given":"Svetlana"},{"family":"Brandberg","given":"Yvonne"},{"literal":"Swedish Clinical TP53 Study Group (SweClinTP53)"}],"issued":{"date-parts":[["2023",1,5]]}}}],"schema":"https://github.com/citation-style-language/schema/raw/master/csl-citation.json"} </w:instrText>
      </w:r>
      <w:r w:rsidRPr="00F970CD">
        <w:rPr>
          <w:rFonts w:ascii="Arial" w:eastAsia="Times New Roman" w:hAnsi="Arial" w:cs="Arial"/>
          <w:kern w:val="0"/>
          <w14:ligatures w14:val="none"/>
        </w:rPr>
        <w:fldChar w:fldCharType="separate"/>
      </w:r>
      <w:r w:rsidRPr="00F970CD">
        <w:rPr>
          <w:rFonts w:ascii="Arial" w:hAnsi="Arial" w:cs="Arial"/>
          <w:kern w:val="0"/>
          <w:szCs w:val="24"/>
          <w:vertAlign w:val="superscript"/>
        </w:rPr>
        <w:t>30–33</w:t>
      </w:r>
      <w:r w:rsidRPr="00F970CD">
        <w:rPr>
          <w:rFonts w:ascii="Arial" w:eastAsia="Times New Roman" w:hAnsi="Arial" w:cs="Arial"/>
          <w:kern w:val="0"/>
          <w14:ligatures w14:val="none"/>
        </w:rPr>
        <w:fldChar w:fldCharType="end"/>
      </w:r>
      <w:r w:rsidRPr="00F970CD">
        <w:rPr>
          <w:rFonts w:ascii="Arial" w:eastAsia="Times New Roman" w:hAnsi="Arial" w:cs="Arial"/>
          <w:kern w:val="0"/>
          <w14:ligatures w14:val="none"/>
        </w:rPr>
        <w:t xml:space="preserve">. </w:t>
      </w:r>
    </w:p>
    <w:p w14:paraId="6350D8E1" w14:textId="77777777" w:rsidR="00C14E38" w:rsidRPr="00F970CD" w:rsidRDefault="00C14E38" w:rsidP="00C14E38">
      <w:pPr>
        <w:spacing w:after="0" w:line="480" w:lineRule="auto"/>
        <w:jc w:val="both"/>
        <w:rPr>
          <w:rFonts w:ascii="Arial" w:eastAsia="Times New Roman" w:hAnsi="Arial" w:cs="Arial"/>
          <w:kern w:val="0"/>
          <w14:ligatures w14:val="none"/>
        </w:rPr>
      </w:pPr>
    </w:p>
    <w:p w14:paraId="2F9D0BD4" w14:textId="3E5C48F4" w:rsidR="00C14E38" w:rsidRPr="00F970CD" w:rsidRDefault="00C14E38" w:rsidP="00C14E38">
      <w:pPr>
        <w:spacing w:after="0" w:line="480" w:lineRule="auto"/>
        <w:jc w:val="both"/>
        <w:rPr>
          <w:rFonts w:ascii="Arial" w:eastAsia="Times New Roman" w:hAnsi="Arial" w:cs="Arial"/>
          <w:kern w:val="0"/>
          <w14:ligatures w14:val="none"/>
        </w:rPr>
      </w:pPr>
      <w:r w:rsidRPr="00F970CD">
        <w:rPr>
          <w:rFonts w:ascii="Arial" w:eastAsia="Times New Roman" w:hAnsi="Arial" w:cs="Arial"/>
          <w:kern w:val="0"/>
          <w14:ligatures w14:val="none"/>
        </w:rPr>
        <w:t xml:space="preserve">Before addressing the current lack of evidence-based guidelines through a formal prospective trial, we first need to know whether cancer surveillance in children and young people with A-T using WBMRI is </w:t>
      </w:r>
      <w:r w:rsidRPr="00F970CD">
        <w:rPr>
          <w:rFonts w:ascii="Arial" w:eastAsia="Times New Roman" w:hAnsi="Arial" w:cs="Arial"/>
          <w:bCs/>
          <w:kern w:val="0"/>
          <w14:ligatures w14:val="none"/>
        </w:rPr>
        <w:t>feasible and acceptable to the patients and their families.</w:t>
      </w:r>
      <w:r w:rsidRPr="00F970CD">
        <w:rPr>
          <w:rFonts w:ascii="Arial" w:eastAsia="Times New Roman" w:hAnsi="Arial" w:cs="Arial"/>
          <w:kern w:val="0"/>
          <w14:ligatures w14:val="none"/>
        </w:rPr>
        <w:t xml:space="preserve"> Although studies have reported the use of MRI for targeted imaging of the brain</w:t>
      </w:r>
      <w:r>
        <w:rPr>
          <w:rFonts w:ascii="Arial" w:eastAsia="Times New Roman" w:hAnsi="Arial" w:cs="Arial"/>
          <w:kern w:val="0"/>
          <w14:ligatures w14:val="none"/>
        </w:rPr>
        <w:fldChar w:fldCharType="begin"/>
      </w:r>
      <w:r>
        <w:rPr>
          <w:rFonts w:ascii="Arial" w:eastAsia="Times New Roman" w:hAnsi="Arial" w:cs="Arial"/>
          <w:kern w:val="0"/>
          <w14:ligatures w14:val="none"/>
        </w:rPr>
        <w:instrText xml:space="preserve"> ADDIN ZOTERO_ITEM CSL_CITATION {"citationID":"tCnEznus","properties":{"formattedCitation":"\\super 34\\nosupersub{}","plainCitation":"34","noteIndex":0},"citationItems":[{"id":268,"uris":["http://zotero.org/users/6992411/items/FA9UIEFA"],"itemData":{"id":268,"type":"article-journal","abstract":"•\n              Linear decline in cerebellar volume in people with classical A-T across childhood.\n            \n            \n              •\n              Divergent volume trajectories in children with and without A-T in the first decade.\n            \n            \n              •\n              Alterations in metabolites seen in childhood A-T independent of age and volume.\n            \n            \n              •\n              Fractional fourth ventricular volume predicts neurological status in childhood A-T.","container-title":"NeuroImage : Clinical","DOI":"10.1016/j.nicl.2019.102110","ISSN":"2213-1582","journalAbbreviation":"Neuroimage Clin","note":"PMID: 31855653\nPMCID: PMC6926372","source":"PubMed Central","title":"Multiparametric cerebellar imaging and clinical phenotype in childhood ataxia telangiectasia","URL":"https://www.ncbi.nlm.nih.gov/pmc/articles/PMC6926372/","volume":"25","author":[{"family":"Dineen","given":"Rob A"},{"family":"Raschke","given":"Felix"},{"family":"McGlashan","given":"Hannah L"},{"family":"Pszczolkowski","given":"Stefan"},{"family":"Hack","given":"Lorna"},{"family":"Cooper","given":"Andrew D"},{"family":"Prasad","given":"Manish"},{"family":"Chow","given":"Gabriel"},{"family":"Whitehouse","given":"William P"},{"family":"Auer","given":"Dorothee P"}],"accessed":{"date-parts":[["2021",3,9]]},"issued":{"date-parts":[["2019",11,26]]}}}],"schema":"https://github.com/citation-style-language/schema/raw/master/csl-citation.json"} </w:instrText>
      </w:r>
      <w:r>
        <w:rPr>
          <w:rFonts w:ascii="Arial" w:eastAsia="Times New Roman" w:hAnsi="Arial" w:cs="Arial"/>
          <w:kern w:val="0"/>
          <w14:ligatures w14:val="none"/>
        </w:rPr>
        <w:fldChar w:fldCharType="separate"/>
      </w:r>
      <w:r w:rsidRPr="00C14E38">
        <w:rPr>
          <w:rFonts w:ascii="Arial" w:hAnsi="Arial" w:cs="Arial"/>
          <w:kern w:val="0"/>
          <w:szCs w:val="24"/>
          <w:vertAlign w:val="superscript"/>
        </w:rPr>
        <w:t>34</w:t>
      </w:r>
      <w:r>
        <w:rPr>
          <w:rFonts w:ascii="Arial" w:eastAsia="Times New Roman" w:hAnsi="Arial" w:cs="Arial"/>
          <w:kern w:val="0"/>
          <w14:ligatures w14:val="none"/>
        </w:rPr>
        <w:fldChar w:fldCharType="end"/>
      </w:r>
      <w:r w:rsidRPr="00F970CD">
        <w:rPr>
          <w:rFonts w:ascii="Arial" w:eastAsia="Times New Roman" w:hAnsi="Arial" w:cs="Arial"/>
          <w:kern w:val="0"/>
          <w14:ligatures w14:val="none"/>
        </w:rPr>
        <w:t xml:space="preserve"> and thoraco-abdominal organs</w:t>
      </w:r>
      <w:r>
        <w:rPr>
          <w:rFonts w:ascii="Arial" w:eastAsia="Times New Roman" w:hAnsi="Arial" w:cs="Arial"/>
          <w:kern w:val="0"/>
          <w14:ligatures w14:val="none"/>
        </w:rPr>
        <w:fldChar w:fldCharType="begin"/>
      </w:r>
      <w:r>
        <w:rPr>
          <w:rFonts w:ascii="Arial" w:eastAsia="Times New Roman" w:hAnsi="Arial" w:cs="Arial"/>
          <w:kern w:val="0"/>
          <w14:ligatures w14:val="none"/>
        </w:rPr>
        <w:instrText xml:space="preserve"> ADDIN ZOTERO_ITEM CSL_CITATION {"citationID":"Xz3TgL5P","properties":{"formattedCitation":"\\super 35\\nosupersub{}","plainCitation":"35","noteIndex":0},"citationItems":[{"id":656,"uris":["http://zotero.org/users/6992411/items/U2HYDA62"],"itemData":{"id":656,"type":"article-journal","abstract":"Ataxia-telangiectasia (A-T) is a syndromic inborn error of immunity (IEI) characterized by genomic instability, defective reparation of the DNA double-strand breaks, and hypersensitivity to ionizing radiation disturbing cellular homeostasis. The role of imaging diagnostics and the conscious choice of safe and advantageous imaging technique, as well as its correct interpretation, are crucial in the diagnostic process and monitoring of children with A-T. This study aimed at defining the role of a radiologist in the early diagnosis of A-T, as well as in detecting and tracking disease complications associated with infections, inflammation, lymphoproliferation, organ-specific immunopathology, and malignancy. Based on our single-center experience, retrospective analysis of investigations using ionizing radiation-free techniques, ultrasound (US), and Magnetic Resonance Imaging (MRI), was performed on regularly followed-up 11 pediatric A-T patients, 6 girls and 5 boys, aged from 2 to 18 years, with the longest period of observation coming to over 13 years. Our attention was especially drawn to the abnormalities that were observed in the US and MRI examinations of the lungs, abdominal cavity, and lymph nodes. The abdominal US showed no abnormalities in organ dimensions or echostructure in 4 out of 11 children studied, yet in the other 7, during follow-up examinations, hepato- and/or splenomegaly, mesenteric, visceral, and paraaortic lymphadenopathy were observable. In 2 patients, focal changes in the liver and spleen were shown, and in one patient progressive abdominal lymphadenopathy corresponded with the diagnosis of non-Hodgkin lymphoma (NHL). The lung US revealed multiple subpleural consolidations and B line artifacts related to the interstitial-alveolar syndrome in 5 patients, accompanied by pleural effusion in one of them. The MRI investigation of the lung enabled the detection of lymphatic nodal masses in the mediastinum, with concomitant airway lesions characteristic of bronchiectasis and focal parenchymal consolidations in one A-T patient with chronic respiratory failure. This patient also manifested organomegaly and granulomatous liver disease in abdominal MRI examination. Our study shows that the use of modern US capabilities and MRI is safe and efficient, thereby serving as a recommended advantageous imaging diagnostic tool in monitoring children with IEI and DNA instability syndromes.","container-title":"Frontiers in Pediatrics","ISSN":"2296-2360","source":"Frontiers","title":"Imaging in children with ataxia-telangiectasia—The radiologist’s approach","URL":"https://www.frontiersin.org/articles/10.3389/fped.2022.988645","volume":"10","author":[{"family":"Jończyk-Potoczna","given":"Katarzyna"},{"family":"Potoczny","given":"Jakub"},{"family":"Szczawińska-Popłonyk","given":"Aleksandra"}],"accessed":{"date-parts":[["2022",9,19]]},"issued":{"date-parts":[["2022"]]}}}],"schema":"https://github.com/citation-style-language/schema/raw/master/csl-citation.json"} </w:instrText>
      </w:r>
      <w:r>
        <w:rPr>
          <w:rFonts w:ascii="Arial" w:eastAsia="Times New Roman" w:hAnsi="Arial" w:cs="Arial"/>
          <w:kern w:val="0"/>
          <w14:ligatures w14:val="none"/>
        </w:rPr>
        <w:fldChar w:fldCharType="separate"/>
      </w:r>
      <w:r w:rsidRPr="00C14E38">
        <w:rPr>
          <w:rFonts w:ascii="Arial" w:hAnsi="Arial" w:cs="Arial"/>
          <w:kern w:val="0"/>
          <w:szCs w:val="24"/>
          <w:vertAlign w:val="superscript"/>
        </w:rPr>
        <w:t>35</w:t>
      </w:r>
      <w:r>
        <w:rPr>
          <w:rFonts w:ascii="Arial" w:eastAsia="Times New Roman" w:hAnsi="Arial" w:cs="Arial"/>
          <w:kern w:val="0"/>
          <w14:ligatures w14:val="none"/>
        </w:rPr>
        <w:fldChar w:fldCharType="end"/>
      </w:r>
      <w:r>
        <w:rPr>
          <w:rFonts w:ascii="Arial" w:eastAsia="Times New Roman" w:hAnsi="Arial" w:cs="Arial"/>
          <w:kern w:val="0"/>
          <w14:ligatures w14:val="none"/>
        </w:rPr>
        <w:t xml:space="preserve"> </w:t>
      </w:r>
      <w:r w:rsidRPr="00F970CD">
        <w:rPr>
          <w:rFonts w:ascii="Arial" w:eastAsia="Times New Roman" w:hAnsi="Arial" w:cs="Arial"/>
          <w:kern w:val="0"/>
          <w14:ligatures w14:val="none"/>
        </w:rPr>
        <w:t xml:space="preserve">in children with A-T, to our knowledge technical success of whole-body MRI acquisition with diagnostic-quality images in a paediatric A-T population has not been demonstrated.  The spectrum of findings (both cancer and non-cancer) which might be detected by WBMRI in a paediatric A-T population is also unknown. </w:t>
      </w:r>
    </w:p>
    <w:p w14:paraId="36DB808F" w14:textId="77777777" w:rsidR="00C14E38" w:rsidRPr="00F970CD" w:rsidRDefault="00C14E38" w:rsidP="00C14E38">
      <w:pPr>
        <w:spacing w:after="0" w:line="480" w:lineRule="auto"/>
        <w:jc w:val="both"/>
        <w:rPr>
          <w:rFonts w:ascii="Arial" w:eastAsia="Times New Roman" w:hAnsi="Arial" w:cs="Arial"/>
          <w:kern w:val="0"/>
          <w14:ligatures w14:val="none"/>
        </w:rPr>
      </w:pPr>
    </w:p>
    <w:p w14:paraId="1DDFBECD" w14:textId="2C22E3E3" w:rsidR="00C14E38" w:rsidRPr="00F970CD" w:rsidRDefault="00C14E38" w:rsidP="00C14E38">
      <w:pPr>
        <w:spacing w:after="0" w:line="480" w:lineRule="auto"/>
        <w:jc w:val="both"/>
        <w:rPr>
          <w:rFonts w:ascii="Arial" w:eastAsia="Times New Roman" w:hAnsi="Arial" w:cs="Arial"/>
          <w:kern w:val="0"/>
          <w14:ligatures w14:val="none"/>
        </w:rPr>
      </w:pPr>
      <w:r w:rsidRPr="00F970CD">
        <w:rPr>
          <w:rFonts w:ascii="Arial" w:eastAsia="Times New Roman" w:hAnsi="Arial" w:cs="Arial"/>
          <w:kern w:val="0"/>
          <w14:ligatures w14:val="none"/>
        </w:rPr>
        <w:t>Our recent qualitative study based on interviews of people with A-T and family members identified that cancer surveillance was considered important and valuable because of the potential benefits of early cancer diagnosis but there were concerns that it could lead to heightened anxiety related to the scan procedure and potential for an unexpected cancer diagnosis</w:t>
      </w:r>
      <w:r>
        <w:rPr>
          <w:rFonts w:ascii="Arial" w:eastAsia="Times New Roman" w:hAnsi="Arial" w:cs="Arial"/>
          <w:kern w:val="0"/>
          <w14:ligatures w14:val="none"/>
        </w:rPr>
        <w:fldChar w:fldCharType="begin"/>
      </w:r>
      <w:r>
        <w:rPr>
          <w:rFonts w:ascii="Arial" w:eastAsia="Times New Roman" w:hAnsi="Arial" w:cs="Arial"/>
          <w:kern w:val="0"/>
          <w14:ligatures w14:val="none"/>
        </w:rPr>
        <w:instrText xml:space="preserve"> ADDIN ZOTERO_ITEM CSL_CITATION {"citationID":"byUxhi1B","properties":{"formattedCitation":"\\super 36\\nosupersub{}","plainCitation":"36","noteIndex":0},"citationItems":[{"id":849,"uris":["http://zotero.org/users/6992411/items/XYIYK38A"],"itemData":{"id":849,"type":"article-journal","abstract":"BACKGROUND/OBJECTIVES: Ataxia-telangiectasia (A-T) is a complex inherited disease associated with an increased risk of malignancy. Surveillance guidelines have demonstrated significant health benefits in other cancer predisposition syndromes. However, evidence-based guidelines for cancer screening are not currently used in the United Kingdom for people affected by A-T. This study aims to understand how people with A-T and their parents feel about cancer surveillance using whole-body magnetic resonance imaging (MRI) to inform the future development of cancer surveillance guidelines.\nDESIGN/METHODS: We conducted semistructured interviews with people affected by A-T. Data were analysed inductively using thematic analysis.\nRESULTS: Nine parents of children with A-T and four adults with A-T were interviewed. Five main themes emerged from the data, including (1) cancer screening was considered invaluable with the perceived value of early detection highlighted; (2) the cancer fear can increase anxiety; (3) the perceived limitations around current practice, with the responsibility for monitoring falling too strongly on parents and patients; (4) the need for effective preparation for cancer screening, including clear communication and (5) the challenges associated with MRI screening, where specific recommendations were made for improving the child's experience.\nCONCLUSION: This study suggests that stakeholders are positive about the perceived advantages of a cancer screening programme. Ongoing support and preparation techniques should be adopted to maximise adherence and minimise adverse psychosocial outcomes.\nPATIENT OR PUBLIC CONTRIBUTION: People with A-T and parents of people with A-T were actively involved in this study by giving their consent to be interviewed. An independent parent representative contributed to the study, supporting the research team in interpreting and commenting on the appropriateness of the language used in this report.","container-title":"Health Expectations: An International Journal of Public Participation in Health Care and Health Policy","DOI":"10.1111/hex.13756","ISSN":"1369-7625","issue":"3","journalAbbreviation":"Health Expect","language":"eng","note":"PMID: 36929011\nPMCID: PMC10154855","page":"1358-1367","source":"PubMed","title":"Whole-body MRI for cancer surveillance in ataxia-telangiectasia: A qualitative study of the perspectives of people affected by A-T and their families","title-short":"Whole-body MRI for cancer surveillance in ataxia-telangiectasia","volume":"26","author":[{"family":"Neves","given":"Renata"},{"family":"Perez","given":"Blanca de Dios"},{"family":"Tindall","given":"Tierney"},{"family":"Fernandez","given":"Natasha Schneider"},{"family":"Panek","given":"Rafal"},{"family":"Wilne","given":"Sophie"},{"family":"Suri","given":"Mohnish"},{"family":"Whitehouse","given":"William"},{"family":"Jagani","given":"Sumit"},{"family":"Dandapani","given":"Madhumita"},{"family":"Dineen","given":"Robert A."},{"family":"Glazebrook","given":"Cris"}],"issued":{"date-parts":[["2023",6]]}}}],"schema":"https://github.com/citation-style-language/schema/raw/master/csl-citation.json"} </w:instrText>
      </w:r>
      <w:r>
        <w:rPr>
          <w:rFonts w:ascii="Arial" w:eastAsia="Times New Roman" w:hAnsi="Arial" w:cs="Arial"/>
          <w:kern w:val="0"/>
          <w14:ligatures w14:val="none"/>
        </w:rPr>
        <w:fldChar w:fldCharType="separate"/>
      </w:r>
      <w:r w:rsidRPr="00C14E38">
        <w:rPr>
          <w:rFonts w:ascii="Arial" w:hAnsi="Arial" w:cs="Arial"/>
          <w:kern w:val="0"/>
          <w:szCs w:val="24"/>
          <w:vertAlign w:val="superscript"/>
        </w:rPr>
        <w:t>36</w:t>
      </w:r>
      <w:r>
        <w:rPr>
          <w:rFonts w:ascii="Arial" w:eastAsia="Times New Roman" w:hAnsi="Arial" w:cs="Arial"/>
          <w:kern w:val="0"/>
          <w14:ligatures w14:val="none"/>
        </w:rPr>
        <w:fldChar w:fldCharType="end"/>
      </w:r>
      <w:r>
        <w:rPr>
          <w:rFonts w:ascii="Arial" w:eastAsia="Times New Roman" w:hAnsi="Arial" w:cs="Arial"/>
          <w:kern w:val="0"/>
          <w14:ligatures w14:val="none"/>
        </w:rPr>
        <w:t>.</w:t>
      </w:r>
      <w:r w:rsidRPr="00F970CD">
        <w:rPr>
          <w:rFonts w:ascii="Arial" w:eastAsia="Times New Roman" w:hAnsi="Arial" w:cs="Arial"/>
          <w:kern w:val="0"/>
          <w14:ligatures w14:val="none"/>
        </w:rPr>
        <w:t xml:space="preserve">  Quality-of-life is affected by A-T</w:t>
      </w:r>
      <w:r w:rsidRPr="00F970CD">
        <w:rPr>
          <w:rFonts w:ascii="Arial" w:eastAsia="Times New Roman" w:hAnsi="Arial" w:cs="Arial"/>
          <w:kern w:val="0"/>
          <w14:ligatures w14:val="none"/>
        </w:rPr>
        <w:fldChar w:fldCharType="begin"/>
      </w:r>
      <w:r>
        <w:rPr>
          <w:rFonts w:ascii="Arial" w:eastAsia="Times New Roman" w:hAnsi="Arial" w:cs="Arial"/>
          <w:kern w:val="0"/>
          <w14:ligatures w14:val="none"/>
        </w:rPr>
        <w:instrText xml:space="preserve"> ADDIN ZOTERO_ITEM CSL_CITATION {"citationID":"g2W8tDWt","properties":{"formattedCitation":"\\super 37\\nosupersub{}","plainCitation":"37","noteIndex":0},"citationItems":[{"id":607,"uris":["http://zotero.org/users/6992411/items/XMIZMS9J"],"itemData":{"id":607,"type":"article-journal","container-title":"European Journal of Paediatric Neurology","DOI":"10.1016/j.ejpn.2022.07.004","ISSN":"1090-3798, 1532-2130","issue":"0","journalAbbreviation":"European Journal of Paediatric Neurology","language":"English","note":"publisher: Elsevier","source":"www.ejpn-journal.com","title":"Quality of life and neurological disability in children and young people with ataxia telangiectasia","URL":"https://www.ejpn-journal.com/article/S1090-3798(22)00115-5/fulltext","volume":"0","author":[{"family":"McGlashan","given":"Hannah L."},{"family":"Blanchard","given":"Caroline V."},{"family":"Luscombe","given":"Celia"},{"family":"Prasad","given":"Manish"},{"family":"Chow","given":"Gabriel"},{"family":"Auer","given":"Dorothee P."},{"family":"Whitehouse","given":"William P."},{"family":"Dineen","given":"Rob A."}],"accessed":{"date-parts":[["2022",7,26]]},"issued":{"date-parts":[["2022",7,21]]}}}],"schema":"https://github.com/citation-style-language/schema/raw/master/csl-citation.json"} </w:instrText>
      </w:r>
      <w:r w:rsidRPr="00F970CD">
        <w:rPr>
          <w:rFonts w:ascii="Arial" w:eastAsia="Times New Roman" w:hAnsi="Arial" w:cs="Arial"/>
          <w:kern w:val="0"/>
          <w14:ligatures w14:val="none"/>
        </w:rPr>
        <w:fldChar w:fldCharType="separate"/>
      </w:r>
      <w:r w:rsidRPr="00C14E38">
        <w:rPr>
          <w:rFonts w:ascii="Arial" w:hAnsi="Arial" w:cs="Arial"/>
          <w:kern w:val="0"/>
          <w:szCs w:val="24"/>
          <w:vertAlign w:val="superscript"/>
        </w:rPr>
        <w:t>37</w:t>
      </w:r>
      <w:r w:rsidRPr="00F970CD">
        <w:rPr>
          <w:rFonts w:ascii="Arial" w:eastAsia="Times New Roman" w:hAnsi="Arial" w:cs="Arial"/>
          <w:kern w:val="0"/>
          <w14:ligatures w14:val="none"/>
        </w:rPr>
        <w:fldChar w:fldCharType="end"/>
      </w:r>
      <w:r w:rsidRPr="00F970CD">
        <w:rPr>
          <w:rFonts w:ascii="Arial" w:eastAsia="Times New Roman" w:hAnsi="Arial" w:cs="Arial"/>
          <w:kern w:val="0"/>
          <w14:ligatures w14:val="none"/>
        </w:rPr>
        <w:t xml:space="preserve"> and thus it is important to include the assessment of the negative impacts on people with A-T and their families resulting from undergoing cancer surveillance using WBMRI in prospective studies. </w:t>
      </w:r>
    </w:p>
    <w:p w14:paraId="2BA77193" w14:textId="77777777" w:rsidR="00C14E38" w:rsidRPr="00F970CD" w:rsidRDefault="00C14E38" w:rsidP="00C14E38">
      <w:pPr>
        <w:spacing w:after="0" w:line="480" w:lineRule="auto"/>
        <w:jc w:val="both"/>
        <w:rPr>
          <w:rFonts w:ascii="Arial" w:eastAsia="Times New Roman" w:hAnsi="Arial" w:cs="Arial"/>
          <w:kern w:val="0"/>
          <w14:ligatures w14:val="none"/>
        </w:rPr>
      </w:pPr>
    </w:p>
    <w:p w14:paraId="6B99D834" w14:textId="77777777" w:rsidR="00C14E38" w:rsidRPr="00F970CD" w:rsidRDefault="00C14E38" w:rsidP="00C14E38">
      <w:pPr>
        <w:spacing w:after="0" w:line="480" w:lineRule="auto"/>
        <w:ind w:left="360"/>
        <w:jc w:val="both"/>
        <w:rPr>
          <w:rFonts w:ascii="Arial" w:eastAsia="Times New Roman" w:hAnsi="Arial" w:cs="Arial"/>
          <w:bCs/>
          <w:kern w:val="0"/>
          <w14:ligatures w14:val="none"/>
        </w:rPr>
      </w:pPr>
    </w:p>
    <w:p w14:paraId="77087602" w14:textId="6E3547C8" w:rsidR="00C70CB8" w:rsidRPr="00C70CB8" w:rsidRDefault="00C14E38" w:rsidP="00C70CB8">
      <w:pPr>
        <w:spacing w:after="0" w:line="480" w:lineRule="auto"/>
        <w:contextualSpacing/>
        <w:jc w:val="both"/>
        <w:rPr>
          <w:rFonts w:ascii="Arial" w:hAnsi="Arial" w:cs="Arial"/>
          <w:kern w:val="0"/>
          <w:sz w:val="28"/>
          <w:szCs w:val="28"/>
          <w14:ligatures w14:val="none"/>
        </w:rPr>
      </w:pPr>
      <w:r w:rsidRPr="00F970CD">
        <w:rPr>
          <w:rFonts w:ascii="Arial" w:hAnsi="Arial" w:cs="Arial"/>
          <w:kern w:val="0"/>
          <w:sz w:val="28"/>
          <w:szCs w:val="28"/>
          <w14:ligatures w14:val="none"/>
        </w:rPr>
        <w:t>Methods</w:t>
      </w:r>
      <w:r w:rsidR="00C70CB8">
        <w:rPr>
          <w:rFonts w:ascii="Arial" w:hAnsi="Arial" w:cs="Arial"/>
          <w:kern w:val="0"/>
          <w:sz w:val="28"/>
          <w:szCs w:val="28"/>
          <w14:ligatures w14:val="none"/>
        </w:rPr>
        <w:t xml:space="preserve"> / Design</w:t>
      </w:r>
    </w:p>
    <w:p w14:paraId="61EA7989" w14:textId="5A31B2DC" w:rsidR="00C70CB8" w:rsidRPr="00C70CB8" w:rsidRDefault="00C70CB8" w:rsidP="00C70CB8">
      <w:pPr>
        <w:spacing w:after="0" w:line="480" w:lineRule="auto"/>
        <w:contextualSpacing/>
        <w:jc w:val="both"/>
        <w:rPr>
          <w:rFonts w:ascii="Arial" w:eastAsia="Times New Roman" w:hAnsi="Arial" w:cs="Arial"/>
          <w:kern w:val="0"/>
          <w:u w:val="single"/>
          <w14:ligatures w14:val="none"/>
        </w:rPr>
      </w:pPr>
      <w:r w:rsidRPr="00C70CB8">
        <w:rPr>
          <w:rFonts w:ascii="Arial" w:eastAsia="Times New Roman" w:hAnsi="Arial" w:cs="Arial"/>
          <w:kern w:val="0"/>
          <w:u w:val="single"/>
          <w14:ligatures w14:val="none"/>
        </w:rPr>
        <w:t>Primary aim</w:t>
      </w:r>
    </w:p>
    <w:p w14:paraId="7B456B49" w14:textId="209C6AAC" w:rsidR="00C70CB8" w:rsidRPr="00F970CD" w:rsidRDefault="00C70CB8" w:rsidP="00C70CB8">
      <w:pPr>
        <w:numPr>
          <w:ilvl w:val="0"/>
          <w:numId w:val="1"/>
        </w:numPr>
        <w:spacing w:after="0" w:line="480" w:lineRule="auto"/>
        <w:jc w:val="both"/>
        <w:rPr>
          <w:rFonts w:ascii="Arial" w:eastAsia="Times New Roman" w:hAnsi="Arial" w:cs="Arial"/>
          <w:bCs/>
          <w:kern w:val="0"/>
          <w14:ligatures w14:val="none"/>
        </w:rPr>
      </w:pPr>
      <w:r w:rsidRPr="00F970CD">
        <w:rPr>
          <w:rFonts w:ascii="Arial" w:eastAsia="Times New Roman" w:hAnsi="Arial" w:cs="Arial"/>
          <w:bCs/>
          <w:kern w:val="0"/>
          <w14:ligatures w14:val="none"/>
        </w:rPr>
        <w:lastRenderedPageBreak/>
        <w:t>To establish the technical feasibility of WBMRI for cancer surveillance in children and young people with A-T</w:t>
      </w:r>
      <w:r>
        <w:rPr>
          <w:rFonts w:ascii="Arial" w:eastAsia="Times New Roman" w:hAnsi="Arial" w:cs="Arial"/>
          <w:bCs/>
          <w:kern w:val="0"/>
          <w14:ligatures w14:val="none"/>
        </w:rPr>
        <w:t>.</w:t>
      </w:r>
    </w:p>
    <w:p w14:paraId="3131CCA7" w14:textId="3FA77FA8" w:rsidR="00C70CB8" w:rsidRPr="00C70CB8" w:rsidRDefault="00C70CB8" w:rsidP="00C70CB8">
      <w:pPr>
        <w:spacing w:after="0" w:line="480" w:lineRule="auto"/>
        <w:contextualSpacing/>
        <w:jc w:val="both"/>
        <w:rPr>
          <w:rFonts w:ascii="Arial" w:eastAsia="Times New Roman" w:hAnsi="Arial" w:cs="Arial"/>
          <w:kern w:val="0"/>
          <w:u w:val="single"/>
          <w14:ligatures w14:val="none"/>
        </w:rPr>
      </w:pPr>
      <w:r w:rsidRPr="00C70CB8">
        <w:rPr>
          <w:rFonts w:ascii="Arial" w:eastAsia="Times New Roman" w:hAnsi="Arial" w:cs="Arial"/>
          <w:kern w:val="0"/>
          <w:u w:val="single"/>
          <w14:ligatures w14:val="none"/>
        </w:rPr>
        <w:t>Secondary aim</w:t>
      </w:r>
    </w:p>
    <w:p w14:paraId="5E84E354" w14:textId="75678D16" w:rsidR="00C70CB8" w:rsidRPr="00F970CD" w:rsidRDefault="00C70CB8" w:rsidP="00C70CB8">
      <w:pPr>
        <w:numPr>
          <w:ilvl w:val="0"/>
          <w:numId w:val="1"/>
        </w:numPr>
        <w:spacing w:after="0" w:line="480" w:lineRule="auto"/>
        <w:jc w:val="both"/>
        <w:rPr>
          <w:rFonts w:ascii="Arial" w:eastAsia="Times New Roman" w:hAnsi="Arial" w:cs="Arial"/>
          <w:kern w:val="0"/>
          <w14:ligatures w14:val="none"/>
        </w:rPr>
      </w:pPr>
      <w:r w:rsidRPr="00F970CD">
        <w:rPr>
          <w:rFonts w:ascii="Arial" w:eastAsia="Times New Roman" w:hAnsi="Arial" w:cs="Arial"/>
          <w:kern w:val="0"/>
          <w14:ligatures w14:val="none"/>
        </w:rPr>
        <w:t>To establish the prevalence and spectrum of cancer and non-cancer abnormalities detected on WBMRI in this population</w:t>
      </w:r>
      <w:r>
        <w:rPr>
          <w:rFonts w:ascii="Arial" w:eastAsia="Times New Roman" w:hAnsi="Arial" w:cs="Arial"/>
          <w:kern w:val="0"/>
          <w14:ligatures w14:val="none"/>
        </w:rPr>
        <w:t>.</w:t>
      </w:r>
    </w:p>
    <w:p w14:paraId="2B12045A" w14:textId="77777777" w:rsidR="00C70CB8" w:rsidRPr="00F970CD" w:rsidRDefault="00C70CB8" w:rsidP="00C70CB8">
      <w:pPr>
        <w:numPr>
          <w:ilvl w:val="0"/>
          <w:numId w:val="1"/>
        </w:numPr>
        <w:spacing w:after="0" w:line="480" w:lineRule="auto"/>
        <w:jc w:val="both"/>
        <w:rPr>
          <w:rFonts w:ascii="Arial" w:eastAsia="Times New Roman" w:hAnsi="Arial" w:cs="Arial"/>
          <w:bCs/>
          <w:kern w:val="0"/>
          <w14:ligatures w14:val="none"/>
        </w:rPr>
      </w:pPr>
      <w:r w:rsidRPr="00F970CD">
        <w:rPr>
          <w:rFonts w:ascii="Arial" w:eastAsia="Times New Roman" w:hAnsi="Arial" w:cs="Arial"/>
          <w:bCs/>
          <w:kern w:val="0"/>
          <w14:ligatures w14:val="none"/>
        </w:rPr>
        <w:t xml:space="preserve">To establish views of, and psychological impact on, participants and families in response to participating in </w:t>
      </w:r>
      <w:r>
        <w:rPr>
          <w:rFonts w:ascii="Arial" w:eastAsia="Times New Roman" w:hAnsi="Arial" w:cs="Arial"/>
          <w:bCs/>
          <w:kern w:val="0"/>
          <w14:ligatures w14:val="none"/>
        </w:rPr>
        <w:t>WB</w:t>
      </w:r>
      <w:r w:rsidRPr="00F970CD">
        <w:rPr>
          <w:rFonts w:ascii="Arial" w:eastAsia="Times New Roman" w:hAnsi="Arial" w:cs="Arial"/>
          <w:bCs/>
          <w:kern w:val="0"/>
          <w14:ligatures w14:val="none"/>
        </w:rPr>
        <w:t>MRI for cancer surveillance.</w:t>
      </w:r>
    </w:p>
    <w:p w14:paraId="6D3DCDAE" w14:textId="77777777" w:rsidR="00C70CB8" w:rsidRDefault="00C70CB8" w:rsidP="00C14E38">
      <w:pPr>
        <w:spacing w:after="0" w:line="480" w:lineRule="auto"/>
        <w:jc w:val="both"/>
        <w:rPr>
          <w:rFonts w:ascii="Arial" w:eastAsia="Times New Roman" w:hAnsi="Arial" w:cs="Arial"/>
          <w:kern w:val="0"/>
          <w14:ligatures w14:val="none"/>
        </w:rPr>
      </w:pPr>
    </w:p>
    <w:p w14:paraId="2066193C" w14:textId="0035BB3B" w:rsidR="00C94FA9" w:rsidRDefault="00C14E38" w:rsidP="00C14E38">
      <w:pPr>
        <w:spacing w:after="0" w:line="480" w:lineRule="auto"/>
        <w:jc w:val="both"/>
        <w:rPr>
          <w:rFonts w:ascii="Arial" w:eastAsia="Times New Roman" w:hAnsi="Arial" w:cs="Arial"/>
          <w:kern w:val="0"/>
          <w14:ligatures w14:val="none"/>
        </w:rPr>
      </w:pPr>
      <w:r w:rsidRPr="00F970CD">
        <w:rPr>
          <w:rFonts w:ascii="Arial" w:eastAsia="Times New Roman" w:hAnsi="Arial" w:cs="Arial"/>
          <w:kern w:val="0"/>
          <w14:ligatures w14:val="none"/>
        </w:rPr>
        <w:t xml:space="preserve">This study </w:t>
      </w:r>
      <w:r w:rsidR="00421117">
        <w:rPr>
          <w:rFonts w:ascii="Arial" w:eastAsia="Times New Roman" w:hAnsi="Arial" w:cs="Arial"/>
          <w:kern w:val="0"/>
          <w14:ligatures w14:val="none"/>
        </w:rPr>
        <w:t>will be</w:t>
      </w:r>
      <w:r w:rsidRPr="00F970CD">
        <w:rPr>
          <w:rFonts w:ascii="Arial" w:eastAsia="Times New Roman" w:hAnsi="Arial" w:cs="Arial"/>
          <w:kern w:val="0"/>
          <w14:ligatures w14:val="none"/>
        </w:rPr>
        <w:t xml:space="preserve"> a mixed methods </w:t>
      </w:r>
      <w:r w:rsidR="00DA15BD">
        <w:rPr>
          <w:rFonts w:ascii="Arial" w:eastAsia="Times New Roman" w:hAnsi="Arial" w:cs="Arial"/>
          <w:kern w:val="0"/>
          <w14:ligatures w14:val="none"/>
        </w:rPr>
        <w:t>feasibility</w:t>
      </w:r>
      <w:r w:rsidRPr="00F970CD">
        <w:rPr>
          <w:rFonts w:ascii="Arial" w:eastAsia="Times New Roman" w:hAnsi="Arial" w:cs="Arial"/>
          <w:kern w:val="0"/>
          <w14:ligatures w14:val="none"/>
        </w:rPr>
        <w:t xml:space="preserve"> study of children and young people with A-T and their families / guardians. Participants will be recruited through the </w:t>
      </w:r>
      <w:r w:rsidR="000009D0">
        <w:rPr>
          <w:rFonts w:ascii="Arial" w:eastAsia="Times New Roman" w:hAnsi="Arial" w:cs="Arial"/>
          <w:kern w:val="0"/>
          <w14:ligatures w14:val="none"/>
        </w:rPr>
        <w:t>National</w:t>
      </w:r>
      <w:r w:rsidRPr="00F970CD">
        <w:rPr>
          <w:rFonts w:ascii="Arial" w:eastAsia="Times New Roman" w:hAnsi="Arial" w:cs="Arial"/>
          <w:kern w:val="0"/>
          <w14:ligatures w14:val="none"/>
        </w:rPr>
        <w:t xml:space="preserve"> Paediatric A-T Clinic</w:t>
      </w:r>
      <w:r w:rsidR="000009D0">
        <w:rPr>
          <w:rFonts w:ascii="Arial" w:eastAsia="Times New Roman" w:hAnsi="Arial" w:cs="Arial"/>
          <w:kern w:val="0"/>
          <w14:ligatures w14:val="none"/>
        </w:rPr>
        <w:t xml:space="preserve"> held</w:t>
      </w:r>
      <w:r w:rsidRPr="00F970CD">
        <w:rPr>
          <w:rFonts w:ascii="Arial" w:eastAsia="Times New Roman" w:hAnsi="Arial" w:cs="Arial"/>
          <w:kern w:val="0"/>
          <w14:ligatures w14:val="none"/>
        </w:rPr>
        <w:t xml:space="preserve"> at the Nottingham</w:t>
      </w:r>
      <w:r w:rsidR="000009D0">
        <w:rPr>
          <w:rFonts w:ascii="Arial" w:eastAsia="Times New Roman" w:hAnsi="Arial" w:cs="Arial"/>
          <w:kern w:val="0"/>
          <w14:ligatures w14:val="none"/>
        </w:rPr>
        <w:t xml:space="preserve"> University Hospitals </w:t>
      </w:r>
      <w:r w:rsidR="00785673">
        <w:rPr>
          <w:rFonts w:ascii="Arial" w:eastAsia="Times New Roman" w:hAnsi="Arial" w:cs="Arial"/>
          <w:kern w:val="0"/>
          <w14:ligatures w14:val="none"/>
        </w:rPr>
        <w:t>(City Hospital Campus)</w:t>
      </w:r>
      <w:r w:rsidR="000009D0">
        <w:rPr>
          <w:rFonts w:ascii="Arial" w:eastAsia="Times New Roman" w:hAnsi="Arial" w:cs="Arial"/>
          <w:kern w:val="0"/>
          <w14:ligatures w14:val="none"/>
        </w:rPr>
        <w:t xml:space="preserve">. They will be invited to </w:t>
      </w:r>
      <w:r w:rsidRPr="00F970CD">
        <w:rPr>
          <w:rFonts w:ascii="Arial" w:eastAsia="Times New Roman" w:hAnsi="Arial" w:cs="Arial"/>
          <w:kern w:val="0"/>
          <w14:ligatures w14:val="none"/>
        </w:rPr>
        <w:t>undergo a single WBMRI scan in the MRI department at Nottingham University Hospitals (Queen’s Medical Centre</w:t>
      </w:r>
      <w:r w:rsidR="000009D0">
        <w:rPr>
          <w:rFonts w:ascii="Arial" w:eastAsia="Times New Roman" w:hAnsi="Arial" w:cs="Arial"/>
          <w:kern w:val="0"/>
          <w14:ligatures w14:val="none"/>
        </w:rPr>
        <w:t xml:space="preserve"> Campus</w:t>
      </w:r>
      <w:r w:rsidRPr="00F970CD">
        <w:rPr>
          <w:rFonts w:ascii="Arial" w:eastAsia="Times New Roman" w:hAnsi="Arial" w:cs="Arial"/>
          <w:kern w:val="0"/>
          <w14:ligatures w14:val="none"/>
        </w:rPr>
        <w:t xml:space="preserve">).  Participants </w:t>
      </w:r>
      <w:r w:rsidR="00421117">
        <w:rPr>
          <w:rFonts w:ascii="Arial" w:eastAsia="Times New Roman" w:hAnsi="Arial" w:cs="Arial"/>
          <w:kern w:val="0"/>
          <w14:ligatures w14:val="none"/>
        </w:rPr>
        <w:t>will be able to</w:t>
      </w:r>
      <w:r w:rsidRPr="00F970CD">
        <w:rPr>
          <w:rFonts w:ascii="Arial" w:eastAsia="Times New Roman" w:hAnsi="Arial" w:cs="Arial"/>
          <w:kern w:val="0"/>
          <w14:ligatures w14:val="none"/>
        </w:rPr>
        <w:t xml:space="preserve"> opt to have a blood test that includes putative tumour markers. The WBMRI scan will last approximately 40 minutes and the whole visit will last approximately 2 hours depending on the support / preparation required. A follow-up remote video interview will explore the views of, and psychological impact on, participants and families / guardian in response to participating in whole-body MRI for cancer surveillance</w:t>
      </w:r>
      <w:r w:rsidR="004C5BD4" w:rsidRPr="004C5BD4">
        <w:rPr>
          <w:rFonts w:ascii="Arial" w:hAnsi="Arial" w:cs="Arial"/>
          <w:kern w:val="0"/>
          <w14:ligatures w14:val="none"/>
        </w:rPr>
        <w:t>.</w:t>
      </w:r>
      <w:r w:rsidR="004C5BD4">
        <w:rPr>
          <w:rFonts w:ascii="Arial" w:hAnsi="Arial" w:cs="Arial"/>
          <w:kern w:val="0"/>
          <w:sz w:val="24"/>
          <w:szCs w:val="24"/>
          <w14:ligatures w14:val="none"/>
        </w:rPr>
        <w:t xml:space="preserve"> </w:t>
      </w:r>
      <w:r w:rsidRPr="00F970CD">
        <w:rPr>
          <w:rFonts w:ascii="Arial" w:eastAsia="Times New Roman" w:hAnsi="Arial" w:cs="Arial"/>
          <w:kern w:val="0"/>
          <w14:ligatures w14:val="none"/>
        </w:rPr>
        <w:t>Patient flow through the trial is summarised in figure 1.</w:t>
      </w:r>
    </w:p>
    <w:p w14:paraId="01B42CEB" w14:textId="77777777" w:rsidR="00C14E38" w:rsidRPr="00F970CD" w:rsidRDefault="00C14E38" w:rsidP="00C14E38">
      <w:pPr>
        <w:spacing w:after="0" w:line="480" w:lineRule="auto"/>
        <w:jc w:val="both"/>
        <w:rPr>
          <w:rFonts w:ascii="Arial" w:eastAsia="Times New Roman" w:hAnsi="Arial" w:cs="Arial"/>
          <w:kern w:val="0"/>
          <w14:ligatures w14:val="none"/>
        </w:rPr>
      </w:pPr>
    </w:p>
    <w:p w14:paraId="782BE199" w14:textId="77777777" w:rsidR="00C14E38" w:rsidRPr="00C70CB8" w:rsidRDefault="00C14E38" w:rsidP="00C70CB8">
      <w:pPr>
        <w:spacing w:after="0" w:line="480" w:lineRule="auto"/>
        <w:contextualSpacing/>
        <w:jc w:val="both"/>
        <w:rPr>
          <w:rFonts w:ascii="Arial" w:eastAsia="Times New Roman" w:hAnsi="Arial" w:cs="Arial"/>
          <w:kern w:val="0"/>
          <w:u w:val="single"/>
          <w14:ligatures w14:val="none"/>
        </w:rPr>
      </w:pPr>
      <w:r w:rsidRPr="00C70CB8">
        <w:rPr>
          <w:rFonts w:ascii="Arial" w:eastAsia="Times New Roman" w:hAnsi="Arial" w:cs="Arial"/>
          <w:kern w:val="0"/>
          <w:u w:val="single"/>
          <w14:ligatures w14:val="none"/>
        </w:rPr>
        <w:t>Eligibility criteria for participants with A-T</w:t>
      </w:r>
    </w:p>
    <w:p w14:paraId="467AAD8F" w14:textId="77777777" w:rsidR="00C14E38" w:rsidRPr="00F970CD" w:rsidRDefault="00C14E38" w:rsidP="00C14E38">
      <w:pPr>
        <w:spacing w:after="0" w:line="480" w:lineRule="auto"/>
        <w:ind w:left="491"/>
        <w:jc w:val="both"/>
        <w:rPr>
          <w:rFonts w:ascii="Arial" w:eastAsia="Times New Roman" w:hAnsi="Arial" w:cs="Arial"/>
          <w:kern w:val="0"/>
          <w14:ligatures w14:val="none"/>
        </w:rPr>
      </w:pPr>
    </w:p>
    <w:p w14:paraId="6B6124FB" w14:textId="77777777" w:rsidR="00C14E38" w:rsidRPr="00C70CB8" w:rsidRDefault="00C14E38" w:rsidP="00C14E38">
      <w:pPr>
        <w:spacing w:after="0" w:line="480" w:lineRule="auto"/>
        <w:ind w:firstLine="360"/>
        <w:jc w:val="both"/>
        <w:rPr>
          <w:rFonts w:ascii="Arial" w:eastAsia="Times New Roman" w:hAnsi="Arial" w:cs="Arial"/>
          <w:i/>
          <w:kern w:val="0"/>
          <w14:ligatures w14:val="none"/>
        </w:rPr>
      </w:pPr>
      <w:r w:rsidRPr="00C70CB8">
        <w:rPr>
          <w:rFonts w:ascii="Arial" w:eastAsia="Times New Roman" w:hAnsi="Arial" w:cs="Arial"/>
          <w:i/>
          <w:kern w:val="0"/>
          <w14:ligatures w14:val="none"/>
        </w:rPr>
        <w:t>Inclusion criteria</w:t>
      </w:r>
    </w:p>
    <w:p w14:paraId="08D4AFD1" w14:textId="77777777" w:rsidR="00C14E38" w:rsidRPr="00F970CD" w:rsidRDefault="00C14E38" w:rsidP="00C14E38">
      <w:pPr>
        <w:numPr>
          <w:ilvl w:val="1"/>
          <w:numId w:val="2"/>
        </w:numPr>
        <w:spacing w:after="0" w:line="480" w:lineRule="auto"/>
        <w:jc w:val="both"/>
        <w:rPr>
          <w:rFonts w:ascii="Arial" w:eastAsia="Times New Roman" w:hAnsi="Arial" w:cs="Arial"/>
          <w:iCs/>
          <w:kern w:val="0"/>
          <w14:ligatures w14:val="none"/>
        </w:rPr>
      </w:pPr>
      <w:r w:rsidRPr="00F970CD">
        <w:rPr>
          <w:rFonts w:ascii="Arial" w:eastAsia="Times New Roman" w:hAnsi="Arial" w:cs="Arial"/>
          <w:iCs/>
          <w:kern w:val="0"/>
          <w14:ligatures w14:val="none"/>
        </w:rPr>
        <w:t>Confirmed diagnosis of A-T</w:t>
      </w:r>
    </w:p>
    <w:p w14:paraId="62699780" w14:textId="77777777" w:rsidR="00C14E38" w:rsidRPr="00F970CD" w:rsidRDefault="00C14E38" w:rsidP="00C14E38">
      <w:pPr>
        <w:numPr>
          <w:ilvl w:val="1"/>
          <w:numId w:val="2"/>
        </w:numPr>
        <w:spacing w:after="0" w:line="480" w:lineRule="auto"/>
        <w:jc w:val="both"/>
        <w:rPr>
          <w:rFonts w:ascii="Arial" w:eastAsia="Times New Roman" w:hAnsi="Arial" w:cs="Arial"/>
          <w:kern w:val="0"/>
          <w14:ligatures w14:val="none"/>
        </w:rPr>
      </w:pPr>
      <w:r w:rsidRPr="00F970CD">
        <w:rPr>
          <w:rFonts w:ascii="Arial" w:eastAsia="Times New Roman" w:hAnsi="Arial" w:cs="Arial"/>
          <w:kern w:val="0"/>
          <w14:ligatures w14:val="none"/>
        </w:rPr>
        <w:t>Aged 4 to 18 years</w:t>
      </w:r>
    </w:p>
    <w:p w14:paraId="07E5FAA5" w14:textId="77777777" w:rsidR="00C14E38" w:rsidRPr="00F970CD" w:rsidRDefault="00C14E38" w:rsidP="00C14E38">
      <w:pPr>
        <w:numPr>
          <w:ilvl w:val="1"/>
          <w:numId w:val="2"/>
        </w:numPr>
        <w:spacing w:after="0" w:line="480" w:lineRule="auto"/>
        <w:jc w:val="both"/>
        <w:rPr>
          <w:rFonts w:ascii="Arial" w:eastAsia="Times New Roman" w:hAnsi="Arial" w:cs="Arial"/>
          <w:iCs/>
          <w:kern w:val="0"/>
          <w14:ligatures w14:val="none"/>
        </w:rPr>
      </w:pPr>
      <w:r w:rsidRPr="00F970CD">
        <w:rPr>
          <w:rFonts w:ascii="Arial" w:eastAsia="Times New Roman" w:hAnsi="Arial" w:cs="Arial"/>
          <w:iCs/>
          <w:kern w:val="0"/>
          <w14:ligatures w14:val="none"/>
        </w:rPr>
        <w:t>Able to undergo MRI scan without sedation or general anaesthetic, after age-appropriate preparation</w:t>
      </w:r>
    </w:p>
    <w:p w14:paraId="1CCD4A0F" w14:textId="2D631FA7" w:rsidR="00C14E38" w:rsidRPr="00F970CD" w:rsidRDefault="00C14E38" w:rsidP="00C14E38">
      <w:pPr>
        <w:numPr>
          <w:ilvl w:val="1"/>
          <w:numId w:val="2"/>
        </w:numPr>
        <w:spacing w:after="0" w:line="480" w:lineRule="auto"/>
        <w:jc w:val="both"/>
        <w:rPr>
          <w:rFonts w:ascii="Arial" w:eastAsia="Times New Roman" w:hAnsi="Arial" w:cs="Arial"/>
          <w:iCs/>
          <w:kern w:val="0"/>
          <w14:ligatures w14:val="none"/>
        </w:rPr>
      </w:pPr>
      <w:r w:rsidRPr="00F970CD">
        <w:rPr>
          <w:rFonts w:ascii="Arial" w:eastAsia="Times New Roman" w:hAnsi="Arial" w:cs="Arial"/>
          <w:iCs/>
          <w:kern w:val="0"/>
          <w14:ligatures w14:val="none"/>
        </w:rPr>
        <w:lastRenderedPageBreak/>
        <w:t>Able to give informed consent (if 16 or older), or have a parent</w:t>
      </w:r>
      <w:r w:rsidR="000009D0">
        <w:rPr>
          <w:rFonts w:ascii="Arial" w:eastAsia="Times New Roman" w:hAnsi="Arial" w:cs="Arial"/>
          <w:iCs/>
          <w:kern w:val="0"/>
          <w14:ligatures w14:val="none"/>
        </w:rPr>
        <w:t xml:space="preserve"> or</w:t>
      </w:r>
      <w:r w:rsidRPr="00F970CD">
        <w:rPr>
          <w:rFonts w:ascii="Arial" w:eastAsia="Times New Roman" w:hAnsi="Arial" w:cs="Arial"/>
          <w:iCs/>
          <w:kern w:val="0"/>
          <w14:ligatures w14:val="none"/>
        </w:rPr>
        <w:t xml:space="preserve"> guardian who is able to give informed consent</w:t>
      </w:r>
    </w:p>
    <w:p w14:paraId="0A9EEB2F" w14:textId="77777777" w:rsidR="00C14E38" w:rsidRPr="00F970CD" w:rsidRDefault="00C14E38" w:rsidP="00C14E38">
      <w:pPr>
        <w:spacing w:after="0" w:line="480" w:lineRule="auto"/>
        <w:ind w:left="720"/>
        <w:jc w:val="both"/>
        <w:rPr>
          <w:rFonts w:ascii="Arial" w:eastAsia="Times New Roman" w:hAnsi="Arial" w:cs="Arial"/>
          <w:iCs/>
          <w:kern w:val="0"/>
          <w14:ligatures w14:val="none"/>
        </w:rPr>
      </w:pPr>
    </w:p>
    <w:p w14:paraId="0DB1135D" w14:textId="77777777" w:rsidR="00C14E38" w:rsidRPr="00C70CB8" w:rsidRDefault="00C14E38" w:rsidP="00C14E38">
      <w:pPr>
        <w:spacing w:after="0" w:line="480" w:lineRule="auto"/>
        <w:ind w:left="360"/>
        <w:jc w:val="both"/>
        <w:rPr>
          <w:rFonts w:ascii="Arial" w:eastAsia="Times New Roman" w:hAnsi="Arial" w:cs="Arial"/>
          <w:i/>
          <w:iCs/>
          <w:kern w:val="0"/>
          <w14:ligatures w14:val="none"/>
        </w:rPr>
      </w:pPr>
      <w:r w:rsidRPr="00C70CB8">
        <w:rPr>
          <w:rFonts w:ascii="Arial" w:eastAsia="Times New Roman" w:hAnsi="Arial" w:cs="Arial"/>
          <w:i/>
          <w:iCs/>
          <w:kern w:val="0"/>
          <w14:ligatures w14:val="none"/>
        </w:rPr>
        <w:t xml:space="preserve">Exclusion criteria </w:t>
      </w:r>
    </w:p>
    <w:p w14:paraId="5D408D7B" w14:textId="77777777" w:rsidR="00C14E38" w:rsidRPr="00F970CD" w:rsidRDefault="00C14E38" w:rsidP="00C14E38">
      <w:pPr>
        <w:numPr>
          <w:ilvl w:val="0"/>
          <w:numId w:val="5"/>
        </w:numPr>
        <w:spacing w:after="0" w:line="480" w:lineRule="auto"/>
        <w:jc w:val="both"/>
        <w:rPr>
          <w:rFonts w:ascii="Arial" w:eastAsia="Times New Roman" w:hAnsi="Arial" w:cs="Arial"/>
          <w:iCs/>
          <w:kern w:val="0"/>
          <w14:ligatures w14:val="none"/>
        </w:rPr>
      </w:pPr>
      <w:r w:rsidRPr="00F970CD">
        <w:rPr>
          <w:rFonts w:ascii="Arial" w:eastAsia="Times New Roman" w:hAnsi="Arial" w:cs="Arial"/>
          <w:iCs/>
          <w:kern w:val="0"/>
          <w14:ligatures w14:val="none"/>
        </w:rPr>
        <w:t>Contra-indication to MRI scan</w:t>
      </w:r>
    </w:p>
    <w:p w14:paraId="10809874" w14:textId="77777777" w:rsidR="00C14E38" w:rsidRPr="00F970CD" w:rsidRDefault="00C14E38" w:rsidP="00C14E38">
      <w:pPr>
        <w:spacing w:after="0" w:line="480" w:lineRule="auto"/>
        <w:jc w:val="both"/>
        <w:rPr>
          <w:rFonts w:ascii="Arial" w:eastAsia="Times New Roman" w:hAnsi="Arial" w:cs="Arial"/>
          <w:iCs/>
          <w:kern w:val="0"/>
          <w14:ligatures w14:val="none"/>
        </w:rPr>
      </w:pPr>
    </w:p>
    <w:p w14:paraId="30655BC7" w14:textId="77777777" w:rsidR="00C14E38" w:rsidRPr="00C70CB8" w:rsidRDefault="00C14E38" w:rsidP="00C70CB8">
      <w:pPr>
        <w:spacing w:after="0" w:line="480" w:lineRule="auto"/>
        <w:contextualSpacing/>
        <w:jc w:val="both"/>
        <w:rPr>
          <w:rFonts w:ascii="Arial" w:eastAsia="Times New Roman" w:hAnsi="Arial" w:cs="Arial"/>
          <w:kern w:val="0"/>
          <w:u w:val="single"/>
          <w14:ligatures w14:val="none"/>
        </w:rPr>
      </w:pPr>
      <w:r w:rsidRPr="00C70CB8">
        <w:rPr>
          <w:rFonts w:ascii="Arial" w:eastAsia="Times New Roman" w:hAnsi="Arial" w:cs="Arial"/>
          <w:kern w:val="0"/>
          <w:u w:val="single"/>
          <w14:ligatures w14:val="none"/>
        </w:rPr>
        <w:t>Consent</w:t>
      </w:r>
    </w:p>
    <w:p w14:paraId="3B7EBFA1" w14:textId="102A91CA" w:rsidR="00C14E38" w:rsidRPr="00F970CD" w:rsidRDefault="00C14E38" w:rsidP="00C14E38">
      <w:pPr>
        <w:spacing w:after="0" w:line="480" w:lineRule="auto"/>
        <w:jc w:val="both"/>
        <w:rPr>
          <w:rFonts w:ascii="Arial" w:eastAsia="Times New Roman" w:hAnsi="Arial" w:cs="Arial"/>
          <w:kern w:val="0"/>
          <w14:ligatures w14:val="none"/>
        </w:rPr>
      </w:pPr>
      <w:r w:rsidRPr="00F970CD">
        <w:rPr>
          <w:rFonts w:ascii="Arial" w:eastAsia="Times New Roman" w:hAnsi="Arial" w:cs="Arial"/>
          <w:kern w:val="0"/>
          <w14:ligatures w14:val="none"/>
        </w:rPr>
        <w:t xml:space="preserve">The written informed parental / guardian consent </w:t>
      </w:r>
      <w:r w:rsidR="00D15E2B">
        <w:rPr>
          <w:rFonts w:ascii="Arial" w:eastAsia="Times New Roman" w:hAnsi="Arial" w:cs="Arial"/>
          <w:kern w:val="0"/>
          <w14:ligatures w14:val="none"/>
        </w:rPr>
        <w:t xml:space="preserve">(see supplementary materials) </w:t>
      </w:r>
      <w:r w:rsidR="00D15E2B" w:rsidRPr="00F970CD">
        <w:rPr>
          <w:rFonts w:ascii="Arial" w:eastAsia="Times New Roman" w:hAnsi="Arial" w:cs="Arial"/>
          <w:kern w:val="0"/>
          <w14:ligatures w14:val="none"/>
        </w:rPr>
        <w:t xml:space="preserve">will be obtained </w:t>
      </w:r>
      <w:r w:rsidRPr="00F970CD">
        <w:rPr>
          <w:rFonts w:ascii="Arial" w:eastAsia="Times New Roman" w:hAnsi="Arial" w:cs="Arial"/>
          <w:kern w:val="0"/>
          <w14:ligatures w14:val="none"/>
        </w:rPr>
        <w:t>for all participants aged 4 to 15</w:t>
      </w:r>
      <w:r w:rsidR="00647533">
        <w:rPr>
          <w:rFonts w:ascii="Arial" w:eastAsia="Times New Roman" w:hAnsi="Arial" w:cs="Arial"/>
          <w:kern w:val="0"/>
          <w14:ligatures w14:val="none"/>
        </w:rPr>
        <w:t xml:space="preserve"> years</w:t>
      </w:r>
      <w:r w:rsidRPr="00F970CD">
        <w:rPr>
          <w:rFonts w:ascii="Arial" w:eastAsia="Times New Roman" w:hAnsi="Arial" w:cs="Arial"/>
          <w:kern w:val="0"/>
          <w14:ligatures w14:val="none"/>
        </w:rPr>
        <w:t xml:space="preserve"> before the participant enters the trial. Participants aged 16</w:t>
      </w:r>
      <w:r w:rsidR="00647533">
        <w:rPr>
          <w:rFonts w:ascii="Arial" w:eastAsia="Times New Roman" w:hAnsi="Arial" w:cs="Arial"/>
          <w:kern w:val="0"/>
          <w14:ligatures w14:val="none"/>
        </w:rPr>
        <w:t xml:space="preserve"> years</w:t>
      </w:r>
      <w:r w:rsidRPr="00F970CD">
        <w:rPr>
          <w:rFonts w:ascii="Arial" w:eastAsia="Times New Roman" w:hAnsi="Arial" w:cs="Arial"/>
          <w:kern w:val="0"/>
          <w14:ligatures w14:val="none"/>
        </w:rPr>
        <w:t xml:space="preserve"> and above will give written consent for themselves. The Investigator will explain the details of the trial and provide an age-appropriate Participant Information Sheet, ensuring that the participant and parent / guardian has sufficient time to consider participating or not. The Investigator will answer any questions that the participant or parent / guardian has concerning study participation. Children and young people under age 16</w:t>
      </w:r>
      <w:r w:rsidR="00647533">
        <w:rPr>
          <w:rFonts w:ascii="Arial" w:eastAsia="Times New Roman" w:hAnsi="Arial" w:cs="Arial"/>
          <w:kern w:val="0"/>
          <w14:ligatures w14:val="none"/>
        </w:rPr>
        <w:t xml:space="preserve"> years</w:t>
      </w:r>
      <w:r w:rsidRPr="00F970CD">
        <w:rPr>
          <w:rFonts w:ascii="Arial" w:eastAsia="Times New Roman" w:hAnsi="Arial" w:cs="Arial"/>
          <w:kern w:val="0"/>
          <w14:ligatures w14:val="none"/>
        </w:rPr>
        <w:t xml:space="preserve"> will also be asked for their assent agreeing to participation, in addition to the parent / guardian consent.  The consent form includes an opt</w:t>
      </w:r>
      <w:r w:rsidR="000009D0">
        <w:rPr>
          <w:rFonts w:ascii="Arial" w:eastAsia="Times New Roman" w:hAnsi="Arial" w:cs="Arial"/>
          <w:kern w:val="0"/>
          <w14:ligatures w14:val="none"/>
        </w:rPr>
        <w:t>-</w:t>
      </w:r>
      <w:r w:rsidRPr="00F970CD">
        <w:rPr>
          <w:rFonts w:ascii="Arial" w:eastAsia="Times New Roman" w:hAnsi="Arial" w:cs="Arial"/>
          <w:kern w:val="0"/>
          <w14:ligatures w14:val="none"/>
        </w:rPr>
        <w:t>in clause to undergo an additional blood test with putative tumour markers (detailed below).</w:t>
      </w:r>
    </w:p>
    <w:p w14:paraId="088A5144" w14:textId="77777777" w:rsidR="00C14E38" w:rsidRPr="00F970CD" w:rsidRDefault="00C14E38" w:rsidP="00C14E38">
      <w:pPr>
        <w:spacing w:after="0" w:line="480" w:lineRule="auto"/>
        <w:jc w:val="both"/>
        <w:rPr>
          <w:rFonts w:ascii="Arial" w:eastAsia="Times New Roman" w:hAnsi="Arial" w:cs="Arial"/>
          <w:kern w:val="0"/>
          <w14:ligatures w14:val="none"/>
        </w:rPr>
      </w:pPr>
    </w:p>
    <w:p w14:paraId="3D5C6602" w14:textId="77777777" w:rsidR="00C14E38" w:rsidRPr="00F970CD" w:rsidRDefault="00C14E38" w:rsidP="00C14E38">
      <w:pPr>
        <w:spacing w:after="0" w:line="480" w:lineRule="auto"/>
        <w:jc w:val="both"/>
        <w:rPr>
          <w:rFonts w:ascii="Arial" w:eastAsia="Times New Roman" w:hAnsi="Arial" w:cs="Arial"/>
          <w:kern w:val="0"/>
          <w14:ligatures w14:val="none"/>
        </w:rPr>
      </w:pPr>
      <w:r w:rsidRPr="00F970CD">
        <w:rPr>
          <w:rFonts w:ascii="Arial" w:eastAsia="Times New Roman" w:hAnsi="Arial" w:cs="Arial"/>
          <w:kern w:val="0"/>
          <w14:ligatures w14:val="none"/>
        </w:rPr>
        <w:t xml:space="preserve">In addition to obtaining informed participant or parent / guardian consent for the child or young person to undergo the WBMRI procedure +/- the blood test, we will also seek consent from the parent or guardian for direct participation in the follow-up interview following the WBMRI scan. </w:t>
      </w:r>
    </w:p>
    <w:p w14:paraId="1CC23F6F" w14:textId="77777777" w:rsidR="00C14E38" w:rsidRPr="00F970CD" w:rsidRDefault="00C14E38" w:rsidP="00C14E38">
      <w:pPr>
        <w:keepNext/>
        <w:spacing w:after="0" w:line="480" w:lineRule="auto"/>
        <w:jc w:val="both"/>
        <w:rPr>
          <w:rFonts w:ascii="Times New Roman" w:eastAsia="Times New Roman" w:hAnsi="Times New Roman" w:cs="Arial Unicode MS"/>
          <w:kern w:val="0"/>
          <w:sz w:val="24"/>
          <w:szCs w:val="24"/>
          <w14:ligatures w14:val="none"/>
        </w:rPr>
      </w:pPr>
    </w:p>
    <w:p w14:paraId="63083D98" w14:textId="77777777" w:rsidR="00C14E38" w:rsidRPr="00F970CD" w:rsidRDefault="00C14E38" w:rsidP="00C14E38">
      <w:pPr>
        <w:spacing w:after="0" w:line="240" w:lineRule="auto"/>
        <w:jc w:val="center"/>
        <w:rPr>
          <w:rFonts w:ascii="Times New Roman" w:eastAsia="Times New Roman" w:hAnsi="Times New Roman" w:cs="Arial Unicode MS"/>
          <w:kern w:val="0"/>
          <w:sz w:val="24"/>
          <w:szCs w:val="24"/>
          <w14:ligatures w14:val="none"/>
        </w:rPr>
      </w:pPr>
      <w:r w:rsidRPr="00F970CD">
        <w:rPr>
          <w:rFonts w:ascii="Times New Roman" w:eastAsia="Times New Roman" w:hAnsi="Times New Roman" w:cs="Arial Unicode MS"/>
          <w:noProof/>
          <w:kern w:val="0"/>
          <w:sz w:val="24"/>
          <w:szCs w:val="24"/>
          <w:lang w:eastAsia="en-GB"/>
        </w:rPr>
        <w:drawing>
          <wp:inline distT="0" distB="0" distL="0" distR="0" wp14:anchorId="5BD6AC2B" wp14:editId="5597DC97">
            <wp:extent cx="2500369" cy="4182574"/>
            <wp:effectExtent l="0" t="0" r="0" b="8890"/>
            <wp:docPr id="1" name="Picture 1" descr="A flowchart of a patient's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flowchart of a patient's proces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507705" cy="4194846"/>
                    </a:xfrm>
                    <a:prstGeom prst="rect">
                      <a:avLst/>
                    </a:prstGeom>
                  </pic:spPr>
                </pic:pic>
              </a:graphicData>
            </a:graphic>
          </wp:inline>
        </w:drawing>
      </w:r>
    </w:p>
    <w:p w14:paraId="4E2FD9DE" w14:textId="77777777" w:rsidR="00C14E38" w:rsidRPr="00F970CD" w:rsidRDefault="00C14E38" w:rsidP="00C14E38">
      <w:pPr>
        <w:spacing w:after="200" w:line="240" w:lineRule="auto"/>
        <w:jc w:val="center"/>
        <w:rPr>
          <w:rFonts w:ascii="Arial" w:eastAsia="Times New Roman" w:hAnsi="Arial" w:cs="Arial"/>
          <w:kern w:val="0"/>
          <w:sz w:val="20"/>
          <w:szCs w:val="20"/>
          <w14:ligatures w14:val="none"/>
        </w:rPr>
      </w:pPr>
      <w:r w:rsidRPr="00F970CD">
        <w:rPr>
          <w:rFonts w:ascii="Arial" w:eastAsia="Times New Roman" w:hAnsi="Arial" w:cs="Arial"/>
          <w:kern w:val="0"/>
          <w:sz w:val="20"/>
          <w:szCs w:val="20"/>
          <w14:ligatures w14:val="none"/>
        </w:rPr>
        <w:t>Figure 1:  Participant journey flow diagram.</w:t>
      </w:r>
    </w:p>
    <w:p w14:paraId="1CC5F7D6" w14:textId="77777777" w:rsidR="00C14E38" w:rsidRPr="00F970CD" w:rsidRDefault="00C14E38" w:rsidP="00C14E38">
      <w:pPr>
        <w:spacing w:after="0" w:line="240" w:lineRule="auto"/>
        <w:rPr>
          <w:rFonts w:ascii="Times New Roman" w:eastAsia="Times New Roman" w:hAnsi="Times New Roman" w:cs="Arial Unicode MS"/>
          <w:kern w:val="0"/>
          <w:sz w:val="24"/>
          <w:szCs w:val="24"/>
          <w14:ligatures w14:val="none"/>
        </w:rPr>
      </w:pPr>
    </w:p>
    <w:p w14:paraId="71C18C94" w14:textId="77777777" w:rsidR="00C14E38" w:rsidRPr="00C70CB8" w:rsidRDefault="00C14E38" w:rsidP="00C70CB8">
      <w:pPr>
        <w:spacing w:after="0" w:line="480" w:lineRule="auto"/>
        <w:contextualSpacing/>
        <w:jc w:val="both"/>
        <w:rPr>
          <w:rFonts w:ascii="Arial" w:eastAsia="Times New Roman" w:hAnsi="Arial" w:cs="Arial"/>
          <w:kern w:val="0"/>
          <w:u w:val="single"/>
          <w14:ligatures w14:val="none"/>
        </w:rPr>
      </w:pPr>
      <w:r w:rsidRPr="00C70CB8">
        <w:rPr>
          <w:rFonts w:ascii="Arial" w:eastAsia="Times New Roman" w:hAnsi="Arial" w:cs="Arial"/>
          <w:kern w:val="0"/>
          <w:u w:val="single"/>
          <w14:ligatures w14:val="none"/>
        </w:rPr>
        <w:t xml:space="preserve">Intervention </w:t>
      </w:r>
    </w:p>
    <w:p w14:paraId="293B00AE" w14:textId="63BFE5FB" w:rsidR="00C14E38" w:rsidRPr="00F970CD" w:rsidRDefault="00C14E38" w:rsidP="00C14E38">
      <w:pPr>
        <w:spacing w:after="0" w:line="480" w:lineRule="auto"/>
        <w:jc w:val="both"/>
        <w:rPr>
          <w:rFonts w:ascii="Arial" w:eastAsia="Times New Roman" w:hAnsi="Arial" w:cs="Arial"/>
          <w:kern w:val="0"/>
          <w14:ligatures w14:val="none"/>
        </w:rPr>
      </w:pPr>
      <w:r w:rsidRPr="00F970CD">
        <w:rPr>
          <w:rFonts w:ascii="Arial" w:eastAsia="Times New Roman" w:hAnsi="Arial" w:cs="Arial"/>
          <w:kern w:val="0"/>
          <w14:ligatures w14:val="none"/>
        </w:rPr>
        <w:t xml:space="preserve">The initial assessment will take place in appropriate child-friendly rooms with wheelchair accessibility at the Queen’s Medical Centre, Nottingham. In addition to the consenting process mentioned above, the parent / guardian will be asked to complete the MRI safety </w:t>
      </w:r>
      <w:r w:rsidR="00594E10">
        <w:rPr>
          <w:rFonts w:ascii="Arial" w:eastAsia="Times New Roman" w:hAnsi="Arial" w:cs="Arial"/>
          <w:kern w:val="0"/>
          <w14:ligatures w14:val="none"/>
        </w:rPr>
        <w:t xml:space="preserve">questionnaire </w:t>
      </w:r>
      <w:r w:rsidRPr="00F970CD">
        <w:rPr>
          <w:rFonts w:ascii="Arial" w:eastAsia="Times New Roman" w:hAnsi="Arial" w:cs="Arial"/>
          <w:kern w:val="0"/>
          <w14:ligatures w14:val="none"/>
        </w:rPr>
        <w:t>for the child or young person undergoing the WBMRI, and for the parent / guardian accompanying them into the MRI room (if relevant).</w:t>
      </w:r>
    </w:p>
    <w:p w14:paraId="5795D0E0" w14:textId="77777777" w:rsidR="00C14E38" w:rsidRPr="00F970CD" w:rsidRDefault="00C14E38" w:rsidP="00C14E38">
      <w:pPr>
        <w:spacing w:after="0" w:line="480" w:lineRule="auto"/>
        <w:jc w:val="both"/>
        <w:rPr>
          <w:rFonts w:ascii="Arial" w:eastAsia="Times New Roman" w:hAnsi="Arial" w:cs="Arial"/>
          <w:kern w:val="0"/>
          <w14:ligatures w14:val="none"/>
        </w:rPr>
      </w:pPr>
    </w:p>
    <w:p w14:paraId="297B0E06" w14:textId="77777777" w:rsidR="00C14E38" w:rsidRPr="00F970CD" w:rsidRDefault="00C14E38" w:rsidP="00C14E38">
      <w:pPr>
        <w:spacing w:after="0" w:line="480" w:lineRule="auto"/>
        <w:jc w:val="both"/>
        <w:rPr>
          <w:rFonts w:ascii="Arial" w:eastAsia="Times New Roman" w:hAnsi="Arial" w:cs="Arial"/>
          <w:kern w:val="0"/>
          <w14:ligatures w14:val="none"/>
        </w:rPr>
      </w:pPr>
      <w:r w:rsidRPr="00F970CD">
        <w:rPr>
          <w:rFonts w:ascii="Arial" w:eastAsia="Times New Roman" w:hAnsi="Arial" w:cs="Arial"/>
          <w:kern w:val="0"/>
          <w14:ligatures w14:val="none"/>
        </w:rPr>
        <w:t xml:space="preserve">Prior to the MRI scan, all participants will be prepared for the scan by an MRI research radiographer who is experienced in preparing children for MRI scans, and participants will be offered the opportunity to undergo a simulated MRI scan in the ‘mock’ MRI scanner so that they can get used to the environment and have a practice dummy scan. </w:t>
      </w:r>
    </w:p>
    <w:p w14:paraId="70D5BE30" w14:textId="40FCD207" w:rsidR="00C14E38" w:rsidRPr="00F970CD" w:rsidRDefault="00C14E38" w:rsidP="00C14E38">
      <w:pPr>
        <w:spacing w:after="0" w:line="480" w:lineRule="auto"/>
        <w:jc w:val="both"/>
        <w:rPr>
          <w:rFonts w:ascii="Arial" w:eastAsia="Times New Roman" w:hAnsi="Arial" w:cs="Arial"/>
          <w:iCs/>
          <w:kern w:val="0"/>
          <w14:ligatures w14:val="none"/>
        </w:rPr>
      </w:pPr>
      <w:r w:rsidRPr="00F970CD">
        <w:rPr>
          <w:rFonts w:ascii="Arial" w:eastAsia="Times New Roman" w:hAnsi="Arial" w:cs="Arial"/>
          <w:iCs/>
          <w:kern w:val="0"/>
          <w14:ligatures w14:val="none"/>
        </w:rPr>
        <w:lastRenderedPageBreak/>
        <w:t xml:space="preserve">All participants will undergo WBMRI scanning in a </w:t>
      </w:r>
      <w:r w:rsidRPr="00F970CD">
        <w:rPr>
          <w:rFonts w:ascii="Arial" w:eastAsia="Times New Roman" w:hAnsi="Arial" w:cs="Arial"/>
          <w:kern w:val="0"/>
          <w14:ligatures w14:val="none"/>
        </w:rPr>
        <w:t xml:space="preserve">3T Philips Elition MRI system, with in-built audiovisual entertainment </w:t>
      </w:r>
      <w:r w:rsidR="003A6CD2">
        <w:rPr>
          <w:rFonts w:ascii="Arial" w:eastAsia="Times New Roman" w:hAnsi="Arial" w:cs="Arial"/>
          <w:kern w:val="0"/>
          <w14:ligatures w14:val="none"/>
        </w:rPr>
        <w:t xml:space="preserve">(Ambient Experience, Philips) </w:t>
      </w:r>
      <w:r w:rsidRPr="00F970CD">
        <w:rPr>
          <w:rFonts w:ascii="Arial" w:eastAsia="Times New Roman" w:hAnsi="Arial" w:cs="Arial"/>
          <w:kern w:val="0"/>
          <w14:ligatures w14:val="none"/>
        </w:rPr>
        <w:t>to improve the experience and provide distraction during the MRI scan.  W</w:t>
      </w:r>
      <w:r w:rsidRPr="00F970CD">
        <w:rPr>
          <w:rFonts w:ascii="Arial" w:eastAsia="Times New Roman" w:hAnsi="Arial" w:cs="Arial"/>
          <w:iCs/>
          <w:kern w:val="0"/>
          <w14:ligatures w14:val="none"/>
        </w:rPr>
        <w:t>e will offer the option to have a parent or guardian in the room for reassurance. While in the scanner the participant will be able to speak directly to the scanner operator via a two-way intercom inside the scanner.</w:t>
      </w:r>
      <w:r w:rsidRPr="00F970CD">
        <w:rPr>
          <w:rFonts w:ascii="Arial" w:eastAsia="Times New Roman" w:hAnsi="Arial" w:cs="Times New Roman"/>
          <w:iCs/>
          <w:kern w:val="0"/>
          <w:lang w:eastAsia="en-GB"/>
          <w14:ligatures w14:val="none"/>
        </w:rPr>
        <w:t xml:space="preserve"> </w:t>
      </w:r>
      <w:r w:rsidRPr="00F970CD">
        <w:rPr>
          <w:rFonts w:ascii="Arial" w:eastAsia="Times New Roman" w:hAnsi="Arial" w:cs="Arial"/>
          <w:iCs/>
          <w:kern w:val="0"/>
          <w14:ligatures w14:val="none"/>
        </w:rPr>
        <w:t>The MRI examination will last approximately 40 minutes with a protocol that includes:</w:t>
      </w:r>
    </w:p>
    <w:p w14:paraId="52EE389D" w14:textId="6E49FA83" w:rsidR="00C14E38" w:rsidRPr="00F970CD" w:rsidRDefault="00C14E38" w:rsidP="00C14E38">
      <w:pPr>
        <w:numPr>
          <w:ilvl w:val="0"/>
          <w:numId w:val="7"/>
        </w:numPr>
        <w:spacing w:after="0" w:line="480" w:lineRule="auto"/>
        <w:jc w:val="both"/>
        <w:rPr>
          <w:rFonts w:ascii="Arial" w:eastAsia="Times New Roman" w:hAnsi="Arial" w:cs="Arial"/>
          <w:iCs/>
          <w:kern w:val="0"/>
          <w14:ligatures w14:val="none"/>
        </w:rPr>
      </w:pPr>
      <w:r w:rsidRPr="00F970CD">
        <w:rPr>
          <w:rFonts w:ascii="Arial" w:eastAsia="Times New Roman" w:hAnsi="Arial" w:cs="Arial"/>
          <w:iCs/>
          <w:kern w:val="0"/>
          <w14:ligatures w14:val="none"/>
        </w:rPr>
        <w:t>Whole body MRI imaging that will include diffusion-weighted imaging (DWI), Short Tau Inversion Recovery (STIR)</w:t>
      </w:r>
      <w:r>
        <w:rPr>
          <w:rFonts w:ascii="Arial" w:eastAsia="Times New Roman" w:hAnsi="Arial" w:cs="Arial"/>
          <w:iCs/>
          <w:kern w:val="0"/>
          <w14:ligatures w14:val="none"/>
        </w:rPr>
        <w:t xml:space="preserve"> and</w:t>
      </w:r>
      <w:r w:rsidRPr="00F970CD">
        <w:rPr>
          <w:rFonts w:ascii="Arial" w:eastAsia="Times New Roman" w:hAnsi="Arial" w:cs="Arial"/>
          <w:iCs/>
          <w:kern w:val="0"/>
          <w14:ligatures w14:val="none"/>
        </w:rPr>
        <w:t xml:space="preserve"> T</w:t>
      </w:r>
      <w:r w:rsidRPr="00F970CD">
        <w:rPr>
          <w:rFonts w:ascii="Arial" w:eastAsia="Times New Roman" w:hAnsi="Arial" w:cs="Arial"/>
          <w:iCs/>
          <w:kern w:val="0"/>
          <w:vertAlign w:val="subscript"/>
          <w14:ligatures w14:val="none"/>
        </w:rPr>
        <w:t>1</w:t>
      </w:r>
      <w:r w:rsidRPr="00F970CD">
        <w:rPr>
          <w:rFonts w:ascii="Arial" w:eastAsia="Times New Roman" w:hAnsi="Arial" w:cs="Arial"/>
          <w:iCs/>
          <w:kern w:val="0"/>
          <w14:ligatures w14:val="none"/>
        </w:rPr>
        <w:t>-weighted anatomical imaging</w:t>
      </w:r>
      <w:r>
        <w:rPr>
          <w:rFonts w:ascii="Arial" w:eastAsia="Times New Roman" w:hAnsi="Arial" w:cs="Arial"/>
          <w:iCs/>
          <w:kern w:val="0"/>
          <w14:ligatures w14:val="none"/>
        </w:rPr>
        <w:t xml:space="preserve">. </w:t>
      </w:r>
      <w:r w:rsidRPr="00F970CD">
        <w:rPr>
          <w:rFonts w:ascii="Arial" w:eastAsia="Times New Roman" w:hAnsi="Arial" w:cs="Arial"/>
          <w:iCs/>
          <w:kern w:val="0"/>
          <w14:ligatures w14:val="none"/>
        </w:rPr>
        <w:t>Acquisition time in total: approximately 30 min.</w:t>
      </w:r>
    </w:p>
    <w:p w14:paraId="17FEBE92" w14:textId="77777777" w:rsidR="00C14E38" w:rsidRPr="00F970CD" w:rsidRDefault="00C14E38" w:rsidP="00C14E38">
      <w:pPr>
        <w:numPr>
          <w:ilvl w:val="0"/>
          <w:numId w:val="7"/>
        </w:numPr>
        <w:spacing w:after="0" w:line="480" w:lineRule="auto"/>
        <w:jc w:val="both"/>
        <w:rPr>
          <w:rFonts w:ascii="Arial" w:eastAsia="Times New Roman" w:hAnsi="Arial" w:cs="Arial"/>
          <w:iCs/>
          <w:kern w:val="0"/>
          <w14:ligatures w14:val="none"/>
        </w:rPr>
      </w:pPr>
      <w:r w:rsidRPr="00F970CD">
        <w:rPr>
          <w:rFonts w:ascii="Arial" w:eastAsia="Times New Roman" w:hAnsi="Arial" w:cs="Arial"/>
          <w:iCs/>
          <w:kern w:val="0"/>
          <w14:ligatures w14:val="none"/>
        </w:rPr>
        <w:t>Cranial high resolution 3D T</w:t>
      </w:r>
      <w:r w:rsidRPr="00F970CD">
        <w:rPr>
          <w:rFonts w:ascii="Arial" w:eastAsia="Times New Roman" w:hAnsi="Arial" w:cs="Arial"/>
          <w:iCs/>
          <w:kern w:val="0"/>
          <w:vertAlign w:val="subscript"/>
          <w14:ligatures w14:val="none"/>
        </w:rPr>
        <w:t>1</w:t>
      </w:r>
      <w:r w:rsidRPr="00F970CD">
        <w:rPr>
          <w:rFonts w:ascii="Arial" w:eastAsia="Times New Roman" w:hAnsi="Arial" w:cs="Arial"/>
          <w:iCs/>
          <w:kern w:val="0"/>
          <w14:ligatures w14:val="none"/>
        </w:rPr>
        <w:t>-weighted anatomical imaging (sagittal acquisition whole brain, MPRAGE). Acquisition time: approximately 4 min.</w:t>
      </w:r>
    </w:p>
    <w:p w14:paraId="22E1B138" w14:textId="77777777" w:rsidR="00C14E38" w:rsidRPr="00F970CD" w:rsidRDefault="00C14E38" w:rsidP="00C14E38">
      <w:pPr>
        <w:numPr>
          <w:ilvl w:val="0"/>
          <w:numId w:val="7"/>
        </w:numPr>
        <w:spacing w:after="0" w:line="480" w:lineRule="auto"/>
        <w:jc w:val="both"/>
        <w:rPr>
          <w:rFonts w:ascii="Arial" w:eastAsia="Times New Roman" w:hAnsi="Arial" w:cs="Arial"/>
          <w:iCs/>
          <w:kern w:val="0"/>
          <w14:ligatures w14:val="none"/>
        </w:rPr>
      </w:pPr>
      <w:r w:rsidRPr="00F970CD">
        <w:rPr>
          <w:rFonts w:ascii="Arial" w:eastAsia="Times New Roman" w:hAnsi="Arial" w:cs="Arial"/>
          <w:iCs/>
          <w:kern w:val="0"/>
          <w14:ligatures w14:val="none"/>
        </w:rPr>
        <w:t>Axial Brain T2-weighted anatomical imaging (axial acquisition whole brain). Acquisition time approximately 2 min.</w:t>
      </w:r>
    </w:p>
    <w:p w14:paraId="47588470" w14:textId="77777777" w:rsidR="00C14E38" w:rsidRPr="00F970CD" w:rsidRDefault="00C14E38" w:rsidP="00C14E38">
      <w:pPr>
        <w:spacing w:after="0" w:line="480" w:lineRule="auto"/>
        <w:jc w:val="both"/>
        <w:rPr>
          <w:rFonts w:ascii="Arial" w:eastAsia="Times New Roman" w:hAnsi="Arial" w:cs="Arial"/>
          <w:iCs/>
          <w:kern w:val="0"/>
          <w14:ligatures w14:val="none"/>
        </w:rPr>
      </w:pPr>
    </w:p>
    <w:p w14:paraId="29DDA763" w14:textId="5F08746C" w:rsidR="00C14E38" w:rsidRPr="00F970CD" w:rsidRDefault="00C14E38" w:rsidP="00C14E38">
      <w:pPr>
        <w:spacing w:after="0" w:line="480" w:lineRule="auto"/>
        <w:jc w:val="both"/>
        <w:rPr>
          <w:rFonts w:ascii="Arial" w:eastAsia="Times New Roman" w:hAnsi="Arial" w:cs="Arial"/>
          <w:iCs/>
          <w:kern w:val="0"/>
          <w14:ligatures w14:val="none"/>
        </w:rPr>
      </w:pPr>
      <w:r w:rsidRPr="00F970CD">
        <w:rPr>
          <w:rFonts w:ascii="Arial" w:eastAsia="Times New Roman" w:hAnsi="Arial" w:cs="Arial"/>
          <w:iCs/>
          <w:kern w:val="0"/>
          <w14:ligatures w14:val="none"/>
        </w:rPr>
        <w:t xml:space="preserve">An optional component of the study </w:t>
      </w:r>
      <w:r w:rsidR="00421117">
        <w:rPr>
          <w:rFonts w:ascii="Arial" w:eastAsia="Times New Roman" w:hAnsi="Arial" w:cs="Arial"/>
          <w:iCs/>
          <w:kern w:val="0"/>
          <w14:ligatures w14:val="none"/>
        </w:rPr>
        <w:t xml:space="preserve">will be </w:t>
      </w:r>
      <w:r w:rsidRPr="00F970CD">
        <w:rPr>
          <w:rFonts w:ascii="Arial" w:eastAsia="Times New Roman" w:hAnsi="Arial" w:cs="Arial"/>
          <w:iCs/>
          <w:kern w:val="0"/>
          <w14:ligatures w14:val="none"/>
        </w:rPr>
        <w:t xml:space="preserve">for participants to have a blood sample taken for tests relevant to tumour detection or tumour risk, including full blood count and blood film, </w:t>
      </w:r>
      <w:r w:rsidR="004F6CAC" w:rsidRPr="00F970CD">
        <w:rPr>
          <w:rFonts w:ascii="Arial" w:eastAsia="Times New Roman" w:hAnsi="Arial" w:cs="Arial"/>
          <w:iCs/>
          <w:kern w:val="0"/>
          <w14:ligatures w14:val="none"/>
        </w:rPr>
        <w:t>alpha fetoprotein</w:t>
      </w:r>
      <w:r w:rsidRPr="00F970CD">
        <w:rPr>
          <w:rFonts w:ascii="Arial" w:eastAsia="Times New Roman" w:hAnsi="Arial" w:cs="Arial"/>
          <w:iCs/>
          <w:kern w:val="0"/>
          <w14:ligatures w14:val="none"/>
        </w:rPr>
        <w:t xml:space="preserve">, </w:t>
      </w:r>
      <w:r w:rsidR="004F6CAC" w:rsidRPr="00F970CD">
        <w:rPr>
          <w:rFonts w:ascii="Arial" w:eastAsia="Times New Roman" w:hAnsi="Arial" w:cs="Arial"/>
          <w:iCs/>
          <w:kern w:val="0"/>
          <w14:ligatures w14:val="none"/>
        </w:rPr>
        <w:t>beta human chorionic gonadotropin</w:t>
      </w:r>
      <w:r w:rsidRPr="00F970CD">
        <w:rPr>
          <w:rFonts w:ascii="Arial" w:eastAsia="Times New Roman" w:hAnsi="Arial" w:cs="Arial"/>
          <w:iCs/>
          <w:kern w:val="0"/>
          <w14:ligatures w14:val="none"/>
        </w:rPr>
        <w:t>, lactate dehydrogenase</w:t>
      </w:r>
      <w:r w:rsidR="004F6CAC">
        <w:rPr>
          <w:rFonts w:ascii="Arial" w:eastAsia="Times New Roman" w:hAnsi="Arial" w:cs="Arial"/>
          <w:iCs/>
          <w:kern w:val="0"/>
          <w14:ligatures w14:val="none"/>
        </w:rPr>
        <w:t xml:space="preserve"> and </w:t>
      </w:r>
      <w:r w:rsidRPr="00F970CD">
        <w:rPr>
          <w:rFonts w:ascii="Arial" w:eastAsia="Times New Roman" w:hAnsi="Arial" w:cs="Arial"/>
          <w:iCs/>
          <w:kern w:val="0"/>
          <w14:ligatures w14:val="none"/>
        </w:rPr>
        <w:t xml:space="preserve">Epstein-Barr </w:t>
      </w:r>
      <w:r w:rsidR="004F6CAC">
        <w:rPr>
          <w:rFonts w:ascii="Arial" w:eastAsia="Times New Roman" w:hAnsi="Arial" w:cs="Arial"/>
          <w:iCs/>
          <w:kern w:val="0"/>
          <w14:ligatures w14:val="none"/>
        </w:rPr>
        <w:t>v</w:t>
      </w:r>
      <w:r w:rsidRPr="00F970CD">
        <w:rPr>
          <w:rFonts w:ascii="Arial" w:eastAsia="Times New Roman" w:hAnsi="Arial" w:cs="Arial"/>
          <w:iCs/>
          <w:kern w:val="0"/>
          <w14:ligatures w14:val="none"/>
        </w:rPr>
        <w:t>irus serology. The reason for including this component is because these blood tests will be, or are candidates to be, included in the cancer surveillance programme, and hence for the feasibility and participant experience aspects of this study, we believe it is important that they are included.  However, we realise that an additional blood test could be distressing for younger children and could reduce recruitment, and hence this an optional component of the study.</w:t>
      </w:r>
    </w:p>
    <w:p w14:paraId="376B4D9E" w14:textId="77777777" w:rsidR="00C14E38" w:rsidRPr="00F970CD" w:rsidRDefault="00C14E38" w:rsidP="00C14E38">
      <w:pPr>
        <w:spacing w:after="0" w:line="480" w:lineRule="auto"/>
        <w:jc w:val="both"/>
        <w:rPr>
          <w:rFonts w:ascii="Arial" w:eastAsia="Times New Roman" w:hAnsi="Arial" w:cs="Arial"/>
          <w:iCs/>
          <w:kern w:val="0"/>
          <w14:ligatures w14:val="none"/>
        </w:rPr>
      </w:pPr>
    </w:p>
    <w:p w14:paraId="2A8D7945" w14:textId="2F883050" w:rsidR="00C14E38" w:rsidRPr="00F970CD" w:rsidRDefault="00C14E38" w:rsidP="00C14E38">
      <w:pPr>
        <w:spacing w:after="0" w:line="480" w:lineRule="auto"/>
        <w:jc w:val="both"/>
        <w:rPr>
          <w:rFonts w:ascii="Arial" w:eastAsia="Times New Roman" w:hAnsi="Arial" w:cs="Arial"/>
          <w:iCs/>
          <w:kern w:val="0"/>
          <w14:ligatures w14:val="none"/>
        </w:rPr>
      </w:pPr>
      <w:r w:rsidRPr="00F970CD">
        <w:rPr>
          <w:rFonts w:ascii="Arial" w:eastAsia="Times New Roman" w:hAnsi="Arial" w:cs="Arial"/>
          <w:iCs/>
          <w:kern w:val="0"/>
          <w14:ligatures w14:val="none"/>
        </w:rPr>
        <w:t xml:space="preserve">The MRI scan will be formally reported by </w:t>
      </w:r>
      <w:r w:rsidR="004F6CAC">
        <w:rPr>
          <w:rFonts w:ascii="Arial" w:eastAsia="Times New Roman" w:hAnsi="Arial" w:cs="Arial"/>
          <w:iCs/>
          <w:kern w:val="0"/>
          <w14:ligatures w14:val="none"/>
        </w:rPr>
        <w:t>consultant clinical</w:t>
      </w:r>
      <w:r w:rsidR="004F6CAC" w:rsidRPr="00F970CD">
        <w:rPr>
          <w:rFonts w:ascii="Arial" w:eastAsia="Times New Roman" w:hAnsi="Arial" w:cs="Arial"/>
          <w:iCs/>
          <w:kern w:val="0"/>
          <w14:ligatures w14:val="none"/>
        </w:rPr>
        <w:t xml:space="preserve"> </w:t>
      </w:r>
      <w:r w:rsidRPr="00F970CD">
        <w:rPr>
          <w:rFonts w:ascii="Arial" w:eastAsia="Times New Roman" w:hAnsi="Arial" w:cs="Arial"/>
          <w:iCs/>
          <w:kern w:val="0"/>
          <w14:ligatures w14:val="none"/>
        </w:rPr>
        <w:t xml:space="preserve">radiologists linked to the study so that if abnormalities are detected, further investigations can be initiated. The (optional) blood test will also be submitted as part of the participant’s patient record in case further </w:t>
      </w:r>
      <w:r w:rsidRPr="00F970CD">
        <w:rPr>
          <w:rFonts w:ascii="Arial" w:eastAsia="Times New Roman" w:hAnsi="Arial" w:cs="Arial"/>
          <w:iCs/>
          <w:kern w:val="0"/>
          <w14:ligatures w14:val="none"/>
        </w:rPr>
        <w:lastRenderedPageBreak/>
        <w:t>investigations are indicated.  The report of the MRI scans and results of the blood test, which will be kept in the participants’ records within</w:t>
      </w:r>
      <w:r w:rsidR="009C21CB">
        <w:rPr>
          <w:rFonts w:ascii="Arial" w:eastAsia="Times New Roman" w:hAnsi="Arial" w:cs="Arial"/>
          <w:iCs/>
          <w:kern w:val="0"/>
          <w14:ligatures w14:val="none"/>
        </w:rPr>
        <w:t xml:space="preserve"> </w:t>
      </w:r>
      <w:r w:rsidRPr="00F970CD">
        <w:rPr>
          <w:rFonts w:ascii="Arial" w:eastAsia="Times New Roman" w:hAnsi="Arial" w:cs="Arial"/>
          <w:iCs/>
          <w:kern w:val="0"/>
          <w14:ligatures w14:val="none"/>
        </w:rPr>
        <w:t xml:space="preserve">NHS, will go to the relevant clinician in the National </w:t>
      </w:r>
      <w:r w:rsidR="000009D0">
        <w:rPr>
          <w:rFonts w:ascii="Arial" w:eastAsia="Times New Roman" w:hAnsi="Arial" w:cs="Arial"/>
          <w:iCs/>
          <w:kern w:val="0"/>
          <w14:ligatures w14:val="none"/>
        </w:rPr>
        <w:t>Paediatric</w:t>
      </w:r>
      <w:r w:rsidRPr="00F970CD">
        <w:rPr>
          <w:rFonts w:ascii="Arial" w:eastAsia="Times New Roman" w:hAnsi="Arial" w:cs="Arial"/>
          <w:iCs/>
          <w:kern w:val="0"/>
          <w14:ligatures w14:val="none"/>
        </w:rPr>
        <w:t xml:space="preserve"> A-T Clinic at Nottingham University Hospital</w:t>
      </w:r>
      <w:r w:rsidR="00785673">
        <w:rPr>
          <w:rFonts w:ascii="Arial" w:eastAsia="Times New Roman" w:hAnsi="Arial" w:cs="Arial"/>
          <w:iCs/>
          <w:kern w:val="0"/>
          <w14:ligatures w14:val="none"/>
        </w:rPr>
        <w:t>s.  W</w:t>
      </w:r>
      <w:r w:rsidRPr="00F970CD">
        <w:rPr>
          <w:rFonts w:ascii="Arial" w:eastAsia="Times New Roman" w:hAnsi="Arial" w:cs="Arial"/>
          <w:iCs/>
          <w:kern w:val="0"/>
          <w14:ligatures w14:val="none"/>
        </w:rPr>
        <w:t xml:space="preserve">here </w:t>
      </w:r>
      <w:r w:rsidR="00785673">
        <w:rPr>
          <w:rFonts w:ascii="Arial" w:eastAsia="Times New Roman" w:hAnsi="Arial" w:cs="Arial"/>
          <w:iCs/>
          <w:kern w:val="0"/>
          <w14:ligatures w14:val="none"/>
        </w:rPr>
        <w:t xml:space="preserve">the MRI scan or blood test </w:t>
      </w:r>
      <w:r w:rsidRPr="00F970CD">
        <w:rPr>
          <w:rFonts w:ascii="Arial" w:eastAsia="Times New Roman" w:hAnsi="Arial" w:cs="Arial"/>
          <w:iCs/>
          <w:kern w:val="0"/>
          <w14:ligatures w14:val="none"/>
        </w:rPr>
        <w:t>results need acting upon, this clinician will liaise with the participant’s own hospital doctor or GP as appropriate by letter or secure NHS email, and will inform the participant and their parent / guardian of the finding using non-medical language, and to explain the next steps.  The research team includes two paediatric oncologists, who can provide further advice to clinicians or families on further investigation and management</w:t>
      </w:r>
      <w:r w:rsidR="000009D0">
        <w:rPr>
          <w:rFonts w:ascii="Arial" w:eastAsia="Times New Roman" w:hAnsi="Arial" w:cs="Arial"/>
          <w:iCs/>
          <w:kern w:val="0"/>
          <w14:ligatures w14:val="none"/>
        </w:rPr>
        <w:t>,</w:t>
      </w:r>
      <w:r w:rsidRPr="00F970CD">
        <w:rPr>
          <w:rFonts w:ascii="Arial" w:eastAsia="Times New Roman" w:hAnsi="Arial" w:cs="Arial"/>
          <w:iCs/>
          <w:kern w:val="0"/>
          <w14:ligatures w14:val="none"/>
        </w:rPr>
        <w:t xml:space="preserve"> if required. We will record details of further management; this information is important to allow us to assess the impact of the surveillance programme on participants and the health system.</w:t>
      </w:r>
    </w:p>
    <w:p w14:paraId="107221DD" w14:textId="77777777" w:rsidR="00C14E38" w:rsidRPr="00F970CD" w:rsidRDefault="00C14E38" w:rsidP="00C14E38">
      <w:pPr>
        <w:spacing w:after="0" w:line="480" w:lineRule="auto"/>
        <w:jc w:val="both"/>
        <w:rPr>
          <w:rFonts w:ascii="Arial" w:eastAsia="Times New Roman" w:hAnsi="Arial" w:cs="Arial"/>
          <w:iCs/>
          <w:kern w:val="0"/>
          <w14:ligatures w14:val="none"/>
        </w:rPr>
      </w:pPr>
    </w:p>
    <w:p w14:paraId="0589CDF1" w14:textId="034ACD1F" w:rsidR="00C14E38" w:rsidRPr="00F970CD" w:rsidRDefault="00DC0A55" w:rsidP="00C14E38">
      <w:pPr>
        <w:spacing w:after="0" w:line="480" w:lineRule="auto"/>
        <w:jc w:val="both"/>
        <w:rPr>
          <w:rFonts w:ascii="Arial" w:eastAsia="Times New Roman" w:hAnsi="Arial" w:cs="Arial"/>
          <w:iCs/>
          <w:kern w:val="0"/>
          <w14:ligatures w14:val="none"/>
        </w:rPr>
      </w:pPr>
      <w:r>
        <w:rPr>
          <w:rFonts w:ascii="Arial" w:eastAsia="Times New Roman" w:hAnsi="Arial" w:cs="Arial"/>
          <w:iCs/>
          <w:kern w:val="0"/>
          <w14:ligatures w14:val="none"/>
        </w:rPr>
        <w:t xml:space="preserve">Immediately following the </w:t>
      </w:r>
      <w:r w:rsidR="00C14E38" w:rsidRPr="00F970CD">
        <w:rPr>
          <w:rFonts w:ascii="Arial" w:eastAsia="Times New Roman" w:hAnsi="Arial" w:cs="Arial"/>
          <w:iCs/>
          <w:kern w:val="0"/>
          <w14:ligatures w14:val="none"/>
        </w:rPr>
        <w:t>MRI scan</w:t>
      </w:r>
      <w:r>
        <w:rPr>
          <w:rFonts w:ascii="Arial" w:eastAsia="Times New Roman" w:hAnsi="Arial" w:cs="Arial"/>
          <w:iCs/>
          <w:kern w:val="0"/>
          <w14:ligatures w14:val="none"/>
        </w:rPr>
        <w:t xml:space="preserve"> the</w:t>
      </w:r>
      <w:r w:rsidR="00C14E38" w:rsidRPr="00F970CD">
        <w:rPr>
          <w:rFonts w:ascii="Arial" w:eastAsia="Times New Roman" w:hAnsi="Arial" w:cs="Arial"/>
          <w:iCs/>
          <w:kern w:val="0"/>
          <w14:ligatures w14:val="none"/>
        </w:rPr>
        <w:t xml:space="preserve"> participants </w:t>
      </w:r>
      <w:r w:rsidR="00885D5B">
        <w:rPr>
          <w:rFonts w:ascii="Arial" w:eastAsia="Times New Roman" w:hAnsi="Arial" w:cs="Arial"/>
          <w:iCs/>
          <w:kern w:val="0"/>
          <w14:ligatures w14:val="none"/>
        </w:rPr>
        <w:t>will be</w:t>
      </w:r>
      <w:r>
        <w:rPr>
          <w:rFonts w:ascii="Arial" w:eastAsia="Times New Roman" w:hAnsi="Arial" w:cs="Arial"/>
          <w:iCs/>
          <w:kern w:val="0"/>
          <w14:ligatures w14:val="none"/>
        </w:rPr>
        <w:t xml:space="preserve"> asked to </w:t>
      </w:r>
      <w:r w:rsidR="00885D5B">
        <w:rPr>
          <w:rFonts w:ascii="Arial" w:eastAsia="Times New Roman" w:hAnsi="Arial" w:cs="Arial"/>
          <w:iCs/>
          <w:kern w:val="0"/>
          <w14:ligatures w14:val="none"/>
        </w:rPr>
        <w:t xml:space="preserve">rate their comfort and anxiety during MRI scan.  The participants </w:t>
      </w:r>
      <w:r w:rsidR="00C14E38" w:rsidRPr="00F970CD">
        <w:rPr>
          <w:rFonts w:ascii="Arial" w:eastAsia="Times New Roman" w:hAnsi="Arial" w:cs="Arial"/>
          <w:iCs/>
          <w:kern w:val="0"/>
          <w14:ligatures w14:val="none"/>
        </w:rPr>
        <w:t xml:space="preserve">and their parents / carers will </w:t>
      </w:r>
      <w:r w:rsidR="00885D5B">
        <w:rPr>
          <w:rFonts w:ascii="Arial" w:eastAsia="Times New Roman" w:hAnsi="Arial" w:cs="Arial"/>
          <w:iCs/>
          <w:kern w:val="0"/>
          <w14:ligatures w14:val="none"/>
        </w:rPr>
        <w:t xml:space="preserve">then </w:t>
      </w:r>
      <w:r w:rsidR="00C14E38" w:rsidRPr="00F970CD">
        <w:rPr>
          <w:rFonts w:ascii="Arial" w:eastAsia="Times New Roman" w:hAnsi="Arial" w:cs="Arial"/>
          <w:iCs/>
          <w:kern w:val="0"/>
          <w14:ligatures w14:val="none"/>
        </w:rPr>
        <w:t xml:space="preserve">be invited to take part in semi-structured interviews </w:t>
      </w:r>
      <w:r w:rsidR="00885D5B">
        <w:rPr>
          <w:rFonts w:ascii="Arial" w:eastAsia="Times New Roman" w:hAnsi="Arial" w:cs="Arial"/>
          <w:iCs/>
          <w:kern w:val="0"/>
          <w14:ligatures w14:val="none"/>
        </w:rPr>
        <w:t>approximately 2</w:t>
      </w:r>
      <w:r w:rsidR="00572855">
        <w:rPr>
          <w:rFonts w:ascii="Arial" w:eastAsia="Times New Roman" w:hAnsi="Arial" w:cs="Arial"/>
          <w:iCs/>
          <w:kern w:val="0"/>
          <w14:ligatures w14:val="none"/>
        </w:rPr>
        <w:t xml:space="preserve"> to 3 </w:t>
      </w:r>
      <w:r w:rsidR="00885D5B">
        <w:rPr>
          <w:rFonts w:ascii="Arial" w:eastAsia="Times New Roman" w:hAnsi="Arial" w:cs="Arial"/>
          <w:iCs/>
          <w:kern w:val="0"/>
          <w14:ligatures w14:val="none"/>
        </w:rPr>
        <w:t xml:space="preserve">weeks after the scan (i.e. allowing time for reflection on the experience) </w:t>
      </w:r>
      <w:r w:rsidR="00C14E38" w:rsidRPr="00F970CD">
        <w:rPr>
          <w:rFonts w:ascii="Arial" w:eastAsia="Times New Roman" w:hAnsi="Arial" w:cs="Arial"/>
          <w:iCs/>
          <w:kern w:val="0"/>
          <w14:ligatures w14:val="none"/>
        </w:rPr>
        <w:t>to explore their perceptions of the preparation for scanning, the experience of scanning and their feelings about the communication of the findings from the scan. These will be conducted online, using videoconferencing software approved by the University of Nottingham such as Microsoft Teams. The interviews/group discussions will allow in-depth exploration of the psychological impacts of participation, and emotions surrounding attendance for the MRI scan / optional blood test, related directly to either the MRI scan or blood test (if applicable), and related to the wait for the result.  For those who had abnormalities detected, we will study the impact of being referred for further tests and possibly treatments.</w:t>
      </w:r>
    </w:p>
    <w:p w14:paraId="12AE41F0" w14:textId="77777777" w:rsidR="00C14E38" w:rsidRPr="00F970CD" w:rsidRDefault="00C14E38" w:rsidP="00C14E38">
      <w:pPr>
        <w:spacing w:after="0" w:line="480" w:lineRule="auto"/>
        <w:jc w:val="both"/>
        <w:rPr>
          <w:rFonts w:ascii="Arial" w:eastAsia="Times New Roman" w:hAnsi="Arial" w:cs="Arial"/>
          <w:iCs/>
          <w:kern w:val="0"/>
          <w14:ligatures w14:val="none"/>
        </w:rPr>
      </w:pPr>
    </w:p>
    <w:p w14:paraId="42244E2F" w14:textId="77777777" w:rsidR="00C14E38" w:rsidRPr="00C70CB8" w:rsidRDefault="00C14E38" w:rsidP="00C70CB8">
      <w:pPr>
        <w:spacing w:after="0" w:line="480" w:lineRule="auto"/>
        <w:contextualSpacing/>
        <w:jc w:val="both"/>
        <w:rPr>
          <w:rFonts w:ascii="Arial" w:eastAsia="Times New Roman" w:hAnsi="Arial" w:cs="Arial"/>
          <w:iCs/>
          <w:kern w:val="0"/>
          <w:u w:val="single"/>
          <w14:ligatures w14:val="none"/>
        </w:rPr>
      </w:pPr>
      <w:r w:rsidRPr="00C70CB8">
        <w:rPr>
          <w:rFonts w:ascii="Arial" w:eastAsia="Times New Roman" w:hAnsi="Arial" w:cs="Arial"/>
          <w:iCs/>
          <w:kern w:val="0"/>
          <w:u w:val="single"/>
          <w14:ligatures w14:val="none"/>
        </w:rPr>
        <w:t>Outcomes</w:t>
      </w:r>
    </w:p>
    <w:p w14:paraId="05D82B2F" w14:textId="7D8770BD" w:rsidR="00C14E38" w:rsidRPr="00F970CD" w:rsidRDefault="00C14E38" w:rsidP="00C14E38">
      <w:pPr>
        <w:spacing w:after="0" w:line="480" w:lineRule="auto"/>
        <w:jc w:val="both"/>
        <w:rPr>
          <w:rFonts w:ascii="Arial" w:eastAsia="Times New Roman" w:hAnsi="Arial" w:cs="Arial"/>
          <w:iCs/>
          <w:kern w:val="0"/>
          <w14:ligatures w14:val="none"/>
        </w:rPr>
      </w:pPr>
      <w:r w:rsidRPr="00F970CD">
        <w:rPr>
          <w:rFonts w:ascii="Arial" w:eastAsia="Times New Roman" w:hAnsi="Arial" w:cs="Arial"/>
          <w:iCs/>
          <w:kern w:val="0"/>
          <w14:ligatures w14:val="none"/>
        </w:rPr>
        <w:t xml:space="preserve">This is a feasibility study and the primary outcomes </w:t>
      </w:r>
      <w:r w:rsidR="00421117">
        <w:rPr>
          <w:rFonts w:ascii="Arial" w:eastAsia="Times New Roman" w:hAnsi="Arial" w:cs="Arial"/>
          <w:iCs/>
          <w:kern w:val="0"/>
          <w14:ligatures w14:val="none"/>
        </w:rPr>
        <w:t>will be</w:t>
      </w:r>
      <w:r w:rsidRPr="00F970CD">
        <w:rPr>
          <w:rFonts w:ascii="Arial" w:eastAsia="Times New Roman" w:hAnsi="Arial" w:cs="Arial"/>
          <w:iCs/>
          <w:kern w:val="0"/>
          <w14:ligatures w14:val="none"/>
        </w:rPr>
        <w:t xml:space="preserve"> based around: (i) rate of completion of whole-body MRI protocol; (ii) duration of scan tolerated (if not full protocol); (iii) diagnostic image quality assessment. </w:t>
      </w:r>
    </w:p>
    <w:p w14:paraId="50FD4FD6" w14:textId="388BEC12" w:rsidR="00C14E38" w:rsidRPr="00F970CD" w:rsidRDefault="00C14E38" w:rsidP="00C14E38">
      <w:pPr>
        <w:spacing w:after="0" w:line="480" w:lineRule="auto"/>
        <w:jc w:val="both"/>
        <w:rPr>
          <w:rFonts w:ascii="Arial" w:eastAsia="Times New Roman" w:hAnsi="Arial" w:cs="Arial"/>
          <w:iCs/>
          <w:kern w:val="0"/>
          <w14:ligatures w14:val="none"/>
        </w:rPr>
      </w:pPr>
      <w:r w:rsidRPr="00F970CD">
        <w:rPr>
          <w:rFonts w:ascii="Arial" w:eastAsia="Times New Roman" w:hAnsi="Arial" w:cs="Arial"/>
          <w:iCs/>
          <w:kern w:val="0"/>
          <w14:ligatures w14:val="none"/>
        </w:rPr>
        <w:lastRenderedPageBreak/>
        <w:t xml:space="preserve">The secondary outcomes </w:t>
      </w:r>
      <w:r w:rsidR="00421117">
        <w:rPr>
          <w:rFonts w:ascii="Arial" w:eastAsia="Times New Roman" w:hAnsi="Arial" w:cs="Arial"/>
          <w:iCs/>
          <w:kern w:val="0"/>
          <w14:ligatures w14:val="none"/>
        </w:rPr>
        <w:t>will be</w:t>
      </w:r>
      <w:r w:rsidRPr="00F970CD">
        <w:rPr>
          <w:rFonts w:ascii="Arial" w:eastAsia="Times New Roman" w:hAnsi="Arial" w:cs="Arial"/>
          <w:iCs/>
          <w:kern w:val="0"/>
          <w14:ligatures w14:val="none"/>
        </w:rPr>
        <w:t>: (i) documentation of number, types and locations of abnormal findings on WBMRI and on blood metrics (when available); (ii) rates of recommendations for further investigations based on the WBMRI and/or blood test findings and record of subsequent medical management; (iii) assessment of the psychological impact o</w:t>
      </w:r>
      <w:r w:rsidR="00F01990">
        <w:rPr>
          <w:rFonts w:ascii="Arial" w:eastAsia="Times New Roman" w:hAnsi="Arial" w:cs="Arial"/>
          <w:iCs/>
          <w:kern w:val="0"/>
          <w14:ligatures w14:val="none"/>
        </w:rPr>
        <w:t>n</w:t>
      </w:r>
      <w:r w:rsidRPr="00F970CD">
        <w:rPr>
          <w:rFonts w:ascii="Arial" w:eastAsia="Times New Roman" w:hAnsi="Arial" w:cs="Arial"/>
          <w:iCs/>
          <w:kern w:val="0"/>
          <w14:ligatures w14:val="none"/>
        </w:rPr>
        <w:t xml:space="preserve"> the participants and their families/carers throughout the study; (iv) Assessment of participant / parent (carer) experience in the lead up to, during and after the surveillance MRI.</w:t>
      </w:r>
    </w:p>
    <w:p w14:paraId="20ECB390" w14:textId="77777777" w:rsidR="00C14E38" w:rsidRPr="00F970CD" w:rsidRDefault="00C14E38" w:rsidP="00C14E38">
      <w:pPr>
        <w:spacing w:after="0" w:line="480" w:lineRule="auto"/>
        <w:rPr>
          <w:rFonts w:ascii="Arial" w:eastAsia="Times New Roman" w:hAnsi="Arial" w:cs="Arial"/>
          <w:iCs/>
          <w:kern w:val="0"/>
          <w14:ligatures w14:val="none"/>
        </w:rPr>
      </w:pPr>
    </w:p>
    <w:p w14:paraId="33B16797" w14:textId="77777777" w:rsidR="00C14E38" w:rsidRPr="00C70CB8" w:rsidRDefault="00C14E38" w:rsidP="00C70CB8">
      <w:pPr>
        <w:spacing w:after="0" w:line="480" w:lineRule="auto"/>
        <w:contextualSpacing/>
        <w:jc w:val="both"/>
        <w:rPr>
          <w:rFonts w:ascii="Arial" w:eastAsia="Times New Roman" w:hAnsi="Arial" w:cs="Arial"/>
          <w:iCs/>
          <w:kern w:val="0"/>
          <w:u w:val="single"/>
          <w14:ligatures w14:val="none"/>
        </w:rPr>
      </w:pPr>
      <w:r w:rsidRPr="00C70CB8">
        <w:rPr>
          <w:rFonts w:ascii="Arial" w:eastAsia="Times New Roman" w:hAnsi="Arial" w:cs="Arial"/>
          <w:iCs/>
          <w:kern w:val="0"/>
          <w:u w:val="single"/>
          <w14:ligatures w14:val="none"/>
        </w:rPr>
        <w:t>Sample size and justification</w:t>
      </w:r>
    </w:p>
    <w:p w14:paraId="37DFE240" w14:textId="77777777" w:rsidR="00C14E38" w:rsidRPr="00F970CD" w:rsidRDefault="00C14E38" w:rsidP="00C14E38">
      <w:pPr>
        <w:spacing w:after="0" w:line="480" w:lineRule="auto"/>
        <w:jc w:val="both"/>
        <w:rPr>
          <w:rFonts w:ascii="Arial" w:eastAsia="Times New Roman" w:hAnsi="Arial" w:cs="Arial"/>
          <w:iCs/>
          <w:kern w:val="0"/>
          <w14:ligatures w14:val="none"/>
        </w:rPr>
      </w:pPr>
      <w:r w:rsidRPr="00F970CD">
        <w:rPr>
          <w:rFonts w:ascii="Arial" w:eastAsia="Times New Roman" w:hAnsi="Arial" w:cs="Arial"/>
          <w:iCs/>
          <w:kern w:val="0"/>
          <w14:ligatures w14:val="none"/>
        </w:rPr>
        <w:t xml:space="preserve">As this is a feasibility study, we cannot perform a formal power calculation to inform sample size.  The recruitment target of 20 people with A-T and their families / carers to participate is pragmatic, based on our expected recruitment.  This target sample size will allow us to show feasibility of the approach and to gain an understanding of the spectrum of findings on whole body MRI in this population. </w:t>
      </w:r>
    </w:p>
    <w:p w14:paraId="22F77549" w14:textId="77777777" w:rsidR="00C14E38" w:rsidRPr="00F970CD" w:rsidRDefault="00C14E38" w:rsidP="00C14E38">
      <w:pPr>
        <w:spacing w:after="0" w:line="480" w:lineRule="auto"/>
        <w:rPr>
          <w:rFonts w:ascii="Arial" w:eastAsia="Times New Roman" w:hAnsi="Arial" w:cs="Arial"/>
          <w:iCs/>
          <w:kern w:val="0"/>
          <w14:ligatures w14:val="none"/>
        </w:rPr>
      </w:pPr>
    </w:p>
    <w:p w14:paraId="0A5B48AA" w14:textId="06E4C719" w:rsidR="00C14E38" w:rsidRPr="00C70CB8" w:rsidRDefault="00D0515A" w:rsidP="00C70CB8">
      <w:pPr>
        <w:spacing w:after="0" w:line="480" w:lineRule="auto"/>
        <w:contextualSpacing/>
        <w:jc w:val="both"/>
        <w:rPr>
          <w:rFonts w:ascii="Arial" w:eastAsia="Times New Roman" w:hAnsi="Arial" w:cs="Arial"/>
          <w:iCs/>
          <w:kern w:val="0"/>
          <w:u w:val="single"/>
          <w14:ligatures w14:val="none"/>
        </w:rPr>
      </w:pPr>
      <w:r>
        <w:rPr>
          <w:rFonts w:ascii="Arial" w:eastAsia="Times New Roman" w:hAnsi="Arial" w:cs="Arial"/>
          <w:iCs/>
          <w:kern w:val="0"/>
          <w:u w:val="single"/>
          <w14:ligatures w14:val="none"/>
        </w:rPr>
        <w:t xml:space="preserve">Data </w:t>
      </w:r>
      <w:r w:rsidR="00C14E38" w:rsidRPr="00C70CB8">
        <w:rPr>
          <w:rFonts w:ascii="Arial" w:eastAsia="Times New Roman" w:hAnsi="Arial" w:cs="Arial"/>
          <w:iCs/>
          <w:kern w:val="0"/>
          <w:u w:val="single"/>
          <w14:ligatures w14:val="none"/>
        </w:rPr>
        <w:t>analysis</w:t>
      </w:r>
    </w:p>
    <w:p w14:paraId="20777FFA" w14:textId="77777777" w:rsidR="007309EF" w:rsidRDefault="00C14E38" w:rsidP="00C14E38">
      <w:pPr>
        <w:spacing w:after="0" w:line="480" w:lineRule="auto"/>
        <w:jc w:val="both"/>
        <w:rPr>
          <w:rFonts w:ascii="Arial" w:eastAsia="Times New Roman" w:hAnsi="Arial" w:cs="Arial"/>
          <w:bCs/>
          <w:iCs/>
          <w:kern w:val="0"/>
          <w14:ligatures w14:val="none"/>
        </w:rPr>
      </w:pPr>
      <w:r w:rsidRPr="00F970CD">
        <w:rPr>
          <w:rFonts w:ascii="Arial" w:eastAsia="Times New Roman" w:hAnsi="Arial" w:cs="Arial"/>
          <w:bCs/>
          <w:iCs/>
          <w:kern w:val="0"/>
          <w14:ligatures w14:val="none"/>
        </w:rPr>
        <w:t>In view of the small sample size, statistical analysis will be limited to descriptive statistics.  Statistical analysis will be performed by the PI (principal investigator) and by the researcher MRI radiographer with support from other co-investigators as requ</w:t>
      </w:r>
      <w:r w:rsidR="008D2C06">
        <w:rPr>
          <w:rFonts w:ascii="Arial" w:eastAsia="Times New Roman" w:hAnsi="Arial" w:cs="Arial"/>
          <w:bCs/>
          <w:iCs/>
          <w:kern w:val="0"/>
          <w14:ligatures w14:val="none"/>
        </w:rPr>
        <w:t>i</w:t>
      </w:r>
      <w:r w:rsidRPr="00F970CD">
        <w:rPr>
          <w:rFonts w:ascii="Arial" w:eastAsia="Times New Roman" w:hAnsi="Arial" w:cs="Arial"/>
          <w:bCs/>
          <w:iCs/>
          <w:kern w:val="0"/>
          <w14:ligatures w14:val="none"/>
        </w:rPr>
        <w:t xml:space="preserve">red. Statistical Package for the Social Sciences (SPSS) will be the software platform used to conduct the quantitative analysis. </w:t>
      </w:r>
    </w:p>
    <w:p w14:paraId="6992C6B5" w14:textId="77777777" w:rsidR="007309EF" w:rsidRDefault="007309EF" w:rsidP="00C14E38">
      <w:pPr>
        <w:spacing w:after="0" w:line="480" w:lineRule="auto"/>
        <w:jc w:val="both"/>
        <w:rPr>
          <w:rFonts w:ascii="Arial" w:eastAsia="Times New Roman" w:hAnsi="Arial" w:cs="Arial"/>
          <w:bCs/>
          <w:iCs/>
          <w:kern w:val="0"/>
          <w14:ligatures w14:val="none"/>
        </w:rPr>
      </w:pPr>
    </w:p>
    <w:p w14:paraId="6AFF5EBF" w14:textId="2375643A" w:rsidR="00C14E38" w:rsidRPr="00F970CD" w:rsidRDefault="00C14E38" w:rsidP="00C14E38">
      <w:pPr>
        <w:spacing w:after="0" w:line="480" w:lineRule="auto"/>
        <w:jc w:val="both"/>
        <w:rPr>
          <w:rFonts w:ascii="Arial" w:eastAsia="Times New Roman" w:hAnsi="Arial" w:cs="Arial"/>
          <w:bCs/>
          <w:iCs/>
          <w:kern w:val="0"/>
          <w14:ligatures w14:val="none"/>
        </w:rPr>
      </w:pPr>
      <w:r w:rsidRPr="00F970CD">
        <w:rPr>
          <w:rFonts w:ascii="Arial" w:eastAsia="Times New Roman" w:hAnsi="Arial" w:cs="Arial"/>
          <w:bCs/>
          <w:iCs/>
          <w:kern w:val="0"/>
          <w14:ligatures w14:val="none"/>
        </w:rPr>
        <w:t>Qualitative</w:t>
      </w:r>
      <w:r w:rsidR="00F01990">
        <w:rPr>
          <w:rFonts w:ascii="Arial" w:eastAsia="Times New Roman" w:hAnsi="Arial" w:cs="Arial"/>
          <w:bCs/>
          <w:iCs/>
          <w:kern w:val="0"/>
          <w14:ligatures w14:val="none"/>
        </w:rPr>
        <w:t xml:space="preserve"> data will be evaluated by the h</w:t>
      </w:r>
      <w:r w:rsidRPr="00F970CD">
        <w:rPr>
          <w:rFonts w:ascii="Arial" w:eastAsia="Times New Roman" w:hAnsi="Arial" w:cs="Arial"/>
          <w:bCs/>
          <w:iCs/>
          <w:kern w:val="0"/>
          <w14:ligatures w14:val="none"/>
        </w:rPr>
        <w:t xml:space="preserve">ealth psychologist research assistant and by the researcher MRI radiographer, both supported by the </w:t>
      </w:r>
      <w:r w:rsidR="00F01990">
        <w:rPr>
          <w:rFonts w:ascii="Arial" w:eastAsia="Times New Roman" w:hAnsi="Arial" w:cs="Arial"/>
          <w:bCs/>
          <w:iCs/>
          <w:kern w:val="0"/>
          <w14:ligatures w14:val="none"/>
        </w:rPr>
        <w:t>h</w:t>
      </w:r>
      <w:r w:rsidRPr="00F970CD">
        <w:rPr>
          <w:rFonts w:ascii="Arial" w:eastAsia="Times New Roman" w:hAnsi="Arial" w:cs="Arial"/>
          <w:bCs/>
          <w:iCs/>
          <w:kern w:val="0"/>
          <w14:ligatures w14:val="none"/>
        </w:rPr>
        <w:t>ealth psychologist professor. Thematic analysis will be the research method used to conduct qualitative analysis.</w:t>
      </w:r>
    </w:p>
    <w:p w14:paraId="61E2C00B" w14:textId="77777777" w:rsidR="00C14E38" w:rsidRPr="00F970CD" w:rsidRDefault="00C14E38" w:rsidP="00C14E38">
      <w:pPr>
        <w:spacing w:after="0" w:line="480" w:lineRule="auto"/>
        <w:jc w:val="both"/>
        <w:rPr>
          <w:rFonts w:ascii="Arial" w:eastAsia="Times New Roman" w:hAnsi="Arial" w:cs="Arial"/>
          <w:bCs/>
          <w:iCs/>
          <w:kern w:val="0"/>
          <w14:ligatures w14:val="none"/>
        </w:rPr>
      </w:pPr>
    </w:p>
    <w:p w14:paraId="52EE4D2C" w14:textId="4B549FA5" w:rsidR="00C14E38" w:rsidRPr="00F970CD" w:rsidRDefault="00C14E38" w:rsidP="00C14E38">
      <w:pPr>
        <w:spacing w:after="0" w:line="480" w:lineRule="auto"/>
        <w:jc w:val="both"/>
        <w:rPr>
          <w:rFonts w:ascii="Arial" w:eastAsia="Times New Roman" w:hAnsi="Arial" w:cs="Arial"/>
          <w:bCs/>
          <w:iCs/>
          <w:kern w:val="0"/>
          <w14:ligatures w14:val="none"/>
        </w:rPr>
      </w:pPr>
      <w:r w:rsidRPr="00F970CD">
        <w:rPr>
          <w:rFonts w:ascii="Arial" w:eastAsia="Times New Roman" w:hAnsi="Arial" w:cs="Arial"/>
          <w:bCs/>
          <w:iCs/>
          <w:kern w:val="0"/>
          <w14:ligatures w14:val="none"/>
        </w:rPr>
        <w:t xml:space="preserve">To address the primary aim, we will record scan completion rate, duration of scan tolerated (if not full protocol), and we will assess the image quality of the MRI scans (evaluated by consultant radiologists as ‘excellent’, ‘good’, ‘acceptable’, ’not good’ and ‘not diagnostic’). We </w:t>
      </w:r>
      <w:r w:rsidRPr="00F970CD">
        <w:rPr>
          <w:rFonts w:ascii="Arial" w:eastAsia="Times New Roman" w:hAnsi="Arial" w:cs="Arial"/>
          <w:bCs/>
          <w:iCs/>
          <w:kern w:val="0"/>
          <w14:ligatures w14:val="none"/>
        </w:rPr>
        <w:lastRenderedPageBreak/>
        <w:t xml:space="preserve">have established scan completion rate &gt; 50% and image quality between acceptable to excellent in 65% of those completing the scan as successful threshold. </w:t>
      </w:r>
      <w:r w:rsidR="00885D5B">
        <w:rPr>
          <w:rFonts w:ascii="Arial" w:eastAsia="Times New Roman" w:hAnsi="Arial" w:cs="Arial"/>
          <w:bCs/>
          <w:iCs/>
          <w:kern w:val="0"/>
          <w14:ligatures w14:val="none"/>
        </w:rPr>
        <w:t>We will also report uptake rates for participation amongst those initially approached regarding the study.</w:t>
      </w:r>
    </w:p>
    <w:p w14:paraId="1B136F66" w14:textId="77777777" w:rsidR="00C14E38" w:rsidRPr="00F970CD" w:rsidRDefault="00C14E38" w:rsidP="00C14E38">
      <w:pPr>
        <w:spacing w:after="0" w:line="480" w:lineRule="auto"/>
        <w:jc w:val="both"/>
        <w:rPr>
          <w:rFonts w:ascii="Arial" w:eastAsia="Times New Roman" w:hAnsi="Arial" w:cs="Arial"/>
          <w:bCs/>
          <w:iCs/>
          <w:kern w:val="0"/>
          <w14:ligatures w14:val="none"/>
        </w:rPr>
      </w:pPr>
    </w:p>
    <w:p w14:paraId="3A2B4CBF" w14:textId="77777777" w:rsidR="00221198" w:rsidRDefault="00C14E38" w:rsidP="00C14E38">
      <w:pPr>
        <w:spacing w:after="0" w:line="480" w:lineRule="auto"/>
        <w:jc w:val="both"/>
        <w:rPr>
          <w:rFonts w:ascii="Arial" w:eastAsia="Times New Roman" w:hAnsi="Arial" w:cs="Arial"/>
          <w:bCs/>
          <w:iCs/>
          <w:kern w:val="0"/>
          <w14:ligatures w14:val="none"/>
        </w:rPr>
      </w:pPr>
      <w:r w:rsidRPr="00F970CD">
        <w:rPr>
          <w:rFonts w:ascii="Arial" w:eastAsia="Times New Roman" w:hAnsi="Arial" w:cs="Arial"/>
          <w:bCs/>
          <w:iCs/>
          <w:kern w:val="0"/>
          <w14:ligatures w14:val="none"/>
        </w:rPr>
        <w:t xml:space="preserve">To address secondary aims, we will document the number, types and locations of abnormal findings on MRI scans. We will also record the number and types of abnormal findings on blood metrics. The number of recommendations for further investigation based on the MRI scans and/or blood test and the number of subsequent medical management required will also </w:t>
      </w:r>
    </w:p>
    <w:p w14:paraId="53A54A6F" w14:textId="0101B938" w:rsidR="00C14E38" w:rsidRPr="00F970CD" w:rsidRDefault="00221198" w:rsidP="00C14E38">
      <w:pPr>
        <w:spacing w:after="0" w:line="480" w:lineRule="auto"/>
        <w:jc w:val="both"/>
        <w:rPr>
          <w:rFonts w:ascii="Arial" w:eastAsia="Times New Roman" w:hAnsi="Arial" w:cs="Arial"/>
          <w:bCs/>
          <w:iCs/>
          <w:kern w:val="0"/>
          <w14:ligatures w14:val="none"/>
        </w:rPr>
      </w:pPr>
      <w:r w:rsidRPr="00F970CD">
        <w:rPr>
          <w:rFonts w:ascii="Arial" w:eastAsia="Times New Roman" w:hAnsi="Arial" w:cs="Arial"/>
          <w:bCs/>
          <w:iCs/>
          <w:kern w:val="0"/>
          <w14:ligatures w14:val="none"/>
        </w:rPr>
        <w:t xml:space="preserve">be </w:t>
      </w:r>
      <w:r w:rsidR="00C14E38" w:rsidRPr="00F970CD">
        <w:rPr>
          <w:rFonts w:ascii="Arial" w:eastAsia="Times New Roman" w:hAnsi="Arial" w:cs="Arial"/>
          <w:bCs/>
          <w:iCs/>
          <w:kern w:val="0"/>
          <w14:ligatures w14:val="none"/>
        </w:rPr>
        <w:t>documented. Finally, we will record participants and parents / carers views and experience in participating in the full study. We have established a positive response / acceptance of &gt;50% as a successful threshold.</w:t>
      </w:r>
    </w:p>
    <w:p w14:paraId="07256EE0" w14:textId="77777777" w:rsidR="00C14E38" w:rsidRPr="00F970CD" w:rsidRDefault="00C14E38" w:rsidP="00C14E38">
      <w:pPr>
        <w:spacing w:after="0" w:line="480" w:lineRule="auto"/>
        <w:jc w:val="both"/>
        <w:rPr>
          <w:rFonts w:ascii="Arial" w:eastAsia="Times New Roman" w:hAnsi="Arial" w:cs="Arial"/>
          <w:bCs/>
          <w:iCs/>
          <w:kern w:val="0"/>
          <w14:ligatures w14:val="none"/>
        </w:rPr>
      </w:pPr>
    </w:p>
    <w:p w14:paraId="421B4617" w14:textId="77777777" w:rsidR="00C14E38" w:rsidRPr="00C70CB8" w:rsidRDefault="00C14E38" w:rsidP="00C70CB8">
      <w:pPr>
        <w:spacing w:after="0" w:line="480" w:lineRule="auto"/>
        <w:contextualSpacing/>
        <w:jc w:val="both"/>
        <w:rPr>
          <w:rFonts w:ascii="Arial" w:eastAsia="Times New Roman" w:hAnsi="Arial" w:cs="Arial"/>
          <w:iCs/>
          <w:kern w:val="0"/>
          <w:u w:val="single"/>
          <w14:ligatures w14:val="none"/>
        </w:rPr>
      </w:pPr>
      <w:r w:rsidRPr="00C70CB8">
        <w:rPr>
          <w:rFonts w:ascii="Arial" w:eastAsia="Times New Roman" w:hAnsi="Arial" w:cs="Arial"/>
          <w:iCs/>
          <w:kern w:val="0"/>
          <w:u w:val="single"/>
          <w14:ligatures w14:val="none"/>
        </w:rPr>
        <w:t>Confidentiality and access to data</w:t>
      </w:r>
    </w:p>
    <w:p w14:paraId="2B5CBB78" w14:textId="77777777" w:rsidR="00C14E38" w:rsidRDefault="00C14E38" w:rsidP="00C14E38">
      <w:pPr>
        <w:spacing w:after="0" w:line="480" w:lineRule="auto"/>
        <w:jc w:val="both"/>
        <w:rPr>
          <w:rFonts w:ascii="Arial" w:eastAsia="Times New Roman" w:hAnsi="Arial" w:cs="Arial"/>
          <w:iCs/>
          <w:kern w:val="0"/>
          <w14:ligatures w14:val="none"/>
        </w:rPr>
      </w:pPr>
      <w:r w:rsidRPr="00F970CD">
        <w:rPr>
          <w:rFonts w:ascii="Arial" w:eastAsia="Times New Roman" w:hAnsi="Arial" w:cs="Arial"/>
          <w:iCs/>
          <w:kern w:val="0"/>
          <w14:ligatures w14:val="none"/>
        </w:rPr>
        <w:t xml:space="preserve">As this study aims to assess the feasibility of a cancer surveillance programme including obtaining MRI scan data and blood test data, we will not be able to keep all data anonymous in order to facilitate diagnostic evaluation. Therefore, de-anonymised data will become part of the participants’ patient records with the NHS to support their usual care. For example, the MRI scan will be requested under the patient’s name and will be formally reported by two NHS radiologists so that if abnormalities are detected, further investigations can be made, which may result in treatment according to the clinical judgement of the NHS healthcare professionals responsible. The (optional) blood test will also be submitted as part of the participant’s patient record in case further investigations are indicated. </w:t>
      </w:r>
    </w:p>
    <w:p w14:paraId="1E74D605" w14:textId="77777777" w:rsidR="00CF7009" w:rsidRPr="00F970CD" w:rsidRDefault="00CF7009" w:rsidP="00C14E38">
      <w:pPr>
        <w:spacing w:after="0" w:line="480" w:lineRule="auto"/>
        <w:jc w:val="both"/>
        <w:rPr>
          <w:rFonts w:ascii="Arial" w:eastAsia="Times New Roman" w:hAnsi="Arial" w:cs="Arial"/>
          <w:iCs/>
          <w:kern w:val="0"/>
          <w14:ligatures w14:val="none"/>
        </w:rPr>
      </w:pPr>
    </w:p>
    <w:p w14:paraId="1F90BFA4" w14:textId="4DD6FEDE" w:rsidR="00C14E38" w:rsidRPr="00F970CD" w:rsidRDefault="00C14E38" w:rsidP="00C14E38">
      <w:pPr>
        <w:spacing w:after="0" w:line="480" w:lineRule="auto"/>
        <w:jc w:val="both"/>
        <w:rPr>
          <w:rFonts w:ascii="Arial" w:eastAsia="Times New Roman" w:hAnsi="Arial" w:cs="Arial"/>
          <w:iCs/>
          <w:kern w:val="0"/>
          <w14:ligatures w14:val="none"/>
        </w:rPr>
      </w:pPr>
      <w:r w:rsidRPr="00F970CD">
        <w:rPr>
          <w:rFonts w:ascii="Arial" w:eastAsia="Times New Roman" w:hAnsi="Arial" w:cs="Arial"/>
          <w:iCs/>
          <w:kern w:val="0"/>
          <w14:ligatures w14:val="none"/>
        </w:rPr>
        <w:t>To protect the confidentiality, all data leaving the NHS for analysis by the research team</w:t>
      </w:r>
      <w:r w:rsidR="00CA4996">
        <w:rPr>
          <w:rFonts w:ascii="Arial" w:eastAsia="Times New Roman" w:hAnsi="Arial" w:cs="Arial"/>
          <w:iCs/>
          <w:kern w:val="0"/>
          <w14:ligatures w14:val="none"/>
        </w:rPr>
        <w:t xml:space="preserve"> in the University of Nottingham</w:t>
      </w:r>
      <w:r w:rsidRPr="00F970CD">
        <w:rPr>
          <w:rFonts w:ascii="Arial" w:eastAsia="Times New Roman" w:hAnsi="Arial" w:cs="Arial"/>
          <w:iCs/>
          <w:kern w:val="0"/>
          <w14:ligatures w14:val="none"/>
        </w:rPr>
        <w:t xml:space="preserve"> will be de-identified. Participants will be assigned a study ID number which is different from NHS identifiers and does not include any personal identifiers for the participant. Particip</w:t>
      </w:r>
      <w:r w:rsidR="009D5CCE">
        <w:rPr>
          <w:rFonts w:ascii="Arial" w:eastAsia="Times New Roman" w:hAnsi="Arial" w:cs="Arial"/>
          <w:iCs/>
          <w:kern w:val="0"/>
          <w14:ligatures w14:val="none"/>
        </w:rPr>
        <w:t>a</w:t>
      </w:r>
      <w:r w:rsidRPr="00F970CD">
        <w:rPr>
          <w:rFonts w:ascii="Arial" w:eastAsia="Times New Roman" w:hAnsi="Arial" w:cs="Arial"/>
          <w:iCs/>
          <w:kern w:val="0"/>
          <w14:ligatures w14:val="none"/>
        </w:rPr>
        <w:t>nt identifiable data will be stripped from MRI scans and blood test results.  REDCap software</w:t>
      </w:r>
      <w:r>
        <w:rPr>
          <w:rFonts w:ascii="Arial" w:eastAsia="Times New Roman" w:hAnsi="Arial" w:cs="Arial"/>
          <w:iCs/>
          <w:kern w:val="0"/>
          <w14:ligatures w14:val="none"/>
        </w:rPr>
        <w:fldChar w:fldCharType="begin"/>
      </w:r>
      <w:r>
        <w:rPr>
          <w:rFonts w:ascii="Arial" w:eastAsia="Times New Roman" w:hAnsi="Arial" w:cs="Arial"/>
          <w:iCs/>
          <w:kern w:val="0"/>
          <w14:ligatures w14:val="none"/>
        </w:rPr>
        <w:instrText xml:space="preserve"> ADDIN ZOTERO_ITEM CSL_CITATION {"citationID":"k7FONhII","properties":{"formattedCitation":"\\super 38\\nosupersub{}","plainCitation":"38","noteIndex":0},"citationItems":[{"id":852,"uris":["http://zotero.org/users/6992411/items/VRKPS657"],"itemData":{"id":852,"type":"article-journal","abstract":"The Research Electronic Data Capture (REDCap) data management platform was developed in 2004 to address an institutional need at Vanderbilt University, then shared with a limited number of adopting sites beginning in 2006. Given bi-directional benefit in early sharing experiments, we created a broader consortium sharing and support model for any academic, non-profit, or government partner wishing to adopt the software. Our sharing framework and consortium-based support model have evolved over time along with the size of the consortium (currently more than 3200 REDCap partners across 128 countries). While the \"REDCap Consortium\" model represents only one example of how to build and disseminate a software platform, lessons learned from our approach may assist other research institutions seeking to build and disseminate innovative technologies.","container-title":"Journal of Biomedical Informatics","DOI":"10.1016/j.jbi.2019.103208","ISSN":"1532-0480","journalAbbreviation":"J Biomed Inform","language":"eng","note":"PMID: 31078660\nPMCID: PMC7254481","page":"103208","source":"PubMed","title":"The REDCap consortium: Building an international community of software platform partners","title-short":"The REDCap consortium","volume":"95","author":[{"family":"Harris","given":"Paul A."},{"family":"Taylor","given":"Robert"},{"family":"Minor","given":"Brenda L."},{"family":"Elliott","given":"Veida"},{"family":"Fernandez","given":"Michelle"},{"family":"O'Neal","given":"Lindsay"},{"family":"McLeod","given":"Laura"},{"family":"Delacqua","given":"Giovanni"},{"family":"Delacqua","given":"Francesco"},{"family":"Kirby","given":"Jacqueline"},{"family":"Duda","given":"Stephany N."},{"literal":"REDCap Consortium"}],"issued":{"date-parts":[["2019",7]]}}}],"schema":"https://github.com/citation-style-language/schema/raw/master/csl-citation.json"} </w:instrText>
      </w:r>
      <w:r>
        <w:rPr>
          <w:rFonts w:ascii="Arial" w:eastAsia="Times New Roman" w:hAnsi="Arial" w:cs="Arial"/>
          <w:iCs/>
          <w:kern w:val="0"/>
          <w14:ligatures w14:val="none"/>
        </w:rPr>
        <w:fldChar w:fldCharType="separate"/>
      </w:r>
      <w:r w:rsidRPr="00C14E38">
        <w:rPr>
          <w:rFonts w:ascii="Arial" w:hAnsi="Arial" w:cs="Arial"/>
          <w:kern w:val="0"/>
          <w:szCs w:val="24"/>
          <w:vertAlign w:val="superscript"/>
        </w:rPr>
        <w:t>38</w:t>
      </w:r>
      <w:r>
        <w:rPr>
          <w:rFonts w:ascii="Arial" w:eastAsia="Times New Roman" w:hAnsi="Arial" w:cs="Arial"/>
          <w:iCs/>
          <w:kern w:val="0"/>
          <w14:ligatures w14:val="none"/>
        </w:rPr>
        <w:fldChar w:fldCharType="end"/>
      </w:r>
      <w:r w:rsidRPr="00F970CD">
        <w:rPr>
          <w:rFonts w:ascii="Arial" w:eastAsia="Times New Roman" w:hAnsi="Arial" w:cs="Arial"/>
          <w:iCs/>
          <w:kern w:val="0"/>
          <w14:ligatures w14:val="none"/>
        </w:rPr>
        <w:t xml:space="preserve"> </w:t>
      </w:r>
      <w:r>
        <w:rPr>
          <w:rFonts w:ascii="Arial" w:eastAsia="Times New Roman" w:hAnsi="Arial" w:cs="Arial"/>
          <w:iCs/>
          <w:kern w:val="0"/>
          <w14:ligatures w14:val="none"/>
        </w:rPr>
        <w:t>w</w:t>
      </w:r>
      <w:r w:rsidRPr="00F970CD">
        <w:rPr>
          <w:rFonts w:ascii="Arial" w:eastAsia="Times New Roman" w:hAnsi="Arial" w:cs="Arial"/>
          <w:iCs/>
          <w:kern w:val="0"/>
          <w14:ligatures w14:val="none"/>
        </w:rPr>
        <w:t>ill be used for the study electronic case report form (eCRF).  De-</w:t>
      </w:r>
      <w:r w:rsidRPr="00F970CD">
        <w:rPr>
          <w:rFonts w:ascii="Arial" w:eastAsia="Times New Roman" w:hAnsi="Arial" w:cs="Arial"/>
          <w:iCs/>
          <w:kern w:val="0"/>
          <w14:ligatures w14:val="none"/>
        </w:rPr>
        <w:lastRenderedPageBreak/>
        <w:t xml:space="preserve">identified study data will be added to the study eCRF using the participant study ID. Therefore, patient identifiable data will </w:t>
      </w:r>
      <w:r w:rsidR="00E770E7">
        <w:rPr>
          <w:rFonts w:ascii="Arial" w:eastAsia="Times New Roman" w:hAnsi="Arial" w:cs="Arial"/>
          <w:iCs/>
          <w:kern w:val="0"/>
          <w14:ligatures w14:val="none"/>
        </w:rPr>
        <w:t xml:space="preserve">not </w:t>
      </w:r>
      <w:r w:rsidR="009C21CB">
        <w:rPr>
          <w:rFonts w:ascii="Arial" w:eastAsia="Times New Roman" w:hAnsi="Arial" w:cs="Arial"/>
          <w:iCs/>
          <w:kern w:val="0"/>
          <w14:ligatures w14:val="none"/>
        </w:rPr>
        <w:t>leave the NHS</w:t>
      </w:r>
      <w:r w:rsidRPr="00F970CD">
        <w:rPr>
          <w:rFonts w:ascii="Arial" w:eastAsia="Times New Roman" w:hAnsi="Arial" w:cs="Arial"/>
          <w:iCs/>
          <w:kern w:val="0"/>
          <w14:ligatures w14:val="none"/>
        </w:rPr>
        <w:t>.</w:t>
      </w:r>
    </w:p>
    <w:p w14:paraId="7DF7EF4D" w14:textId="77777777" w:rsidR="00CF7009" w:rsidRDefault="00CF7009" w:rsidP="00CF7009">
      <w:pPr>
        <w:spacing w:after="0" w:line="480" w:lineRule="auto"/>
        <w:jc w:val="both"/>
        <w:rPr>
          <w:rFonts w:ascii="Arial" w:eastAsia="Times New Roman" w:hAnsi="Arial" w:cs="Arial"/>
          <w:iCs/>
          <w:kern w:val="0"/>
          <w14:ligatures w14:val="none"/>
        </w:rPr>
      </w:pPr>
    </w:p>
    <w:p w14:paraId="2BA46B30" w14:textId="5DB0E0FC" w:rsidR="00CF7009" w:rsidRPr="00CF7009" w:rsidRDefault="00CF7009" w:rsidP="00CF7009">
      <w:pPr>
        <w:spacing w:after="0" w:line="480" w:lineRule="auto"/>
        <w:jc w:val="both"/>
        <w:rPr>
          <w:rFonts w:ascii="Arial" w:eastAsia="Times New Roman" w:hAnsi="Arial" w:cs="Arial"/>
          <w:iCs/>
          <w:kern w:val="0"/>
          <w:u w:val="single"/>
          <w14:ligatures w14:val="none"/>
        </w:rPr>
      </w:pPr>
      <w:r w:rsidRPr="00CF7009">
        <w:rPr>
          <w:rFonts w:ascii="Arial" w:eastAsia="Times New Roman" w:hAnsi="Arial" w:cs="Arial"/>
          <w:iCs/>
          <w:kern w:val="0"/>
          <w:u w:val="single"/>
          <w14:ligatures w14:val="none"/>
        </w:rPr>
        <w:t>Adverse events</w:t>
      </w:r>
    </w:p>
    <w:p w14:paraId="3549578B" w14:textId="5157D40D" w:rsidR="00CF7009" w:rsidRPr="00CF7009" w:rsidRDefault="00CF7009" w:rsidP="00CF7009">
      <w:pPr>
        <w:spacing w:after="0" w:line="480" w:lineRule="auto"/>
        <w:jc w:val="both"/>
        <w:rPr>
          <w:rFonts w:ascii="Arial" w:eastAsia="Times New Roman" w:hAnsi="Arial" w:cs="Arial"/>
          <w:iCs/>
          <w:kern w:val="0"/>
          <w14:ligatures w14:val="none"/>
        </w:rPr>
      </w:pPr>
      <w:r w:rsidRPr="00CF7009">
        <w:rPr>
          <w:rFonts w:ascii="Arial" w:eastAsia="Times New Roman" w:hAnsi="Arial" w:cs="Arial"/>
          <w:iCs/>
          <w:kern w:val="0"/>
          <w14:ligatures w14:val="none"/>
        </w:rPr>
        <w:t xml:space="preserve">All adverse events will be recorded, assessed and closely monitored until resolution, stabilisation, or until it has been shown that the study intervention is not the cause. The Chief Investigator shall be informed immediately of any serious adverse events and shall determine seriousness and causality in conjunction with any treating medical practitioners. All </w:t>
      </w:r>
      <w:r>
        <w:rPr>
          <w:rFonts w:ascii="Arial" w:eastAsia="Times New Roman" w:hAnsi="Arial" w:cs="Arial"/>
          <w:iCs/>
          <w:kern w:val="0"/>
          <w14:ligatures w14:val="none"/>
        </w:rPr>
        <w:t>intervention-</w:t>
      </w:r>
      <w:r w:rsidRPr="00CF7009">
        <w:rPr>
          <w:rFonts w:ascii="Arial" w:eastAsia="Times New Roman" w:hAnsi="Arial" w:cs="Arial"/>
          <w:iCs/>
          <w:kern w:val="0"/>
          <w14:ligatures w14:val="none"/>
        </w:rPr>
        <w:t xml:space="preserve">related serious adverse events will be recorded and reported to the </w:t>
      </w:r>
      <w:r>
        <w:rPr>
          <w:rFonts w:ascii="Arial" w:eastAsia="Times New Roman" w:hAnsi="Arial" w:cs="Arial"/>
          <w:iCs/>
          <w:kern w:val="0"/>
          <w14:ligatures w14:val="none"/>
        </w:rPr>
        <w:t>Research Ethics Committee</w:t>
      </w:r>
      <w:r w:rsidRPr="00CF7009">
        <w:rPr>
          <w:rFonts w:ascii="Arial" w:eastAsia="Times New Roman" w:hAnsi="Arial" w:cs="Arial"/>
          <w:iCs/>
          <w:kern w:val="0"/>
          <w14:ligatures w14:val="none"/>
        </w:rPr>
        <w:t xml:space="preserve"> as part of the annual reports. The Chief Investigator shall be responsible for all adverse event reporting</w:t>
      </w:r>
      <w:r>
        <w:rPr>
          <w:rFonts w:ascii="Arial" w:eastAsia="Times New Roman" w:hAnsi="Arial" w:cs="Arial"/>
          <w:iCs/>
          <w:kern w:val="0"/>
          <w14:ligatures w14:val="none"/>
        </w:rPr>
        <w:t>.</w:t>
      </w:r>
    </w:p>
    <w:p w14:paraId="55E0BCCA" w14:textId="77777777" w:rsidR="00C14E38" w:rsidRPr="00F970CD" w:rsidRDefault="00C14E38" w:rsidP="00C14E38">
      <w:pPr>
        <w:spacing w:after="0" w:line="480" w:lineRule="auto"/>
        <w:jc w:val="both"/>
        <w:rPr>
          <w:rFonts w:ascii="Arial" w:eastAsia="Times New Roman" w:hAnsi="Arial" w:cs="Arial"/>
          <w:iCs/>
          <w:kern w:val="0"/>
          <w14:ligatures w14:val="none"/>
        </w:rPr>
      </w:pPr>
    </w:p>
    <w:p w14:paraId="29B77EB4" w14:textId="77777777" w:rsidR="00C14E38" w:rsidRPr="00C70CB8" w:rsidRDefault="00C14E38" w:rsidP="00C70CB8">
      <w:pPr>
        <w:spacing w:after="0" w:line="480" w:lineRule="auto"/>
        <w:contextualSpacing/>
        <w:jc w:val="both"/>
        <w:rPr>
          <w:rFonts w:ascii="Arial" w:eastAsia="Times New Roman" w:hAnsi="Arial" w:cs="Arial"/>
          <w:iCs/>
          <w:kern w:val="0"/>
          <w:u w:val="single"/>
          <w14:ligatures w14:val="none"/>
        </w:rPr>
      </w:pPr>
      <w:r w:rsidRPr="00C70CB8">
        <w:rPr>
          <w:rFonts w:ascii="Arial" w:eastAsia="Times New Roman" w:hAnsi="Arial" w:cs="Arial"/>
          <w:iCs/>
          <w:kern w:val="0"/>
          <w:u w:val="single"/>
          <w14:ligatures w14:val="none"/>
        </w:rPr>
        <w:t>Dissemination policy</w:t>
      </w:r>
    </w:p>
    <w:p w14:paraId="7F8499C0" w14:textId="645139D4" w:rsidR="00C14E38" w:rsidRDefault="00C14E38" w:rsidP="00C14E38">
      <w:pPr>
        <w:spacing w:after="0" w:line="480" w:lineRule="auto"/>
        <w:jc w:val="both"/>
        <w:rPr>
          <w:rFonts w:ascii="Arial" w:eastAsia="Times New Roman" w:hAnsi="Arial" w:cs="Arial"/>
          <w:iCs/>
          <w:kern w:val="0"/>
          <w14:ligatures w14:val="none"/>
        </w:rPr>
      </w:pPr>
      <w:r w:rsidRPr="00F970CD">
        <w:rPr>
          <w:rFonts w:ascii="Arial" w:eastAsia="Times New Roman" w:hAnsi="Arial" w:cs="Arial"/>
          <w:iCs/>
          <w:kern w:val="0"/>
          <w14:ligatures w14:val="none"/>
        </w:rPr>
        <w:t>The findings of the study will be communicated to the scientific community via one major peer-reviewed publication and several anticipated secondary peer reviewed publications, related to clinical genetics, paediatric oncology, health psychology or radiogr</w:t>
      </w:r>
      <w:r w:rsidR="000009D0">
        <w:rPr>
          <w:rFonts w:ascii="Arial" w:eastAsia="Times New Roman" w:hAnsi="Arial" w:cs="Arial"/>
          <w:iCs/>
          <w:kern w:val="0"/>
          <w14:ligatures w14:val="none"/>
        </w:rPr>
        <w:t>aphy / medical imaging</w:t>
      </w:r>
      <w:r w:rsidRPr="00F970CD">
        <w:rPr>
          <w:rFonts w:ascii="Arial" w:eastAsia="Times New Roman" w:hAnsi="Arial" w:cs="Arial"/>
          <w:iCs/>
          <w:kern w:val="0"/>
          <w14:ligatures w14:val="none"/>
        </w:rPr>
        <w:t xml:space="preserve">. The results will also be presented at specialist meetings such as the A-T Clinical Research Conference meeting, and other relevant scientific meetings in fields such as clinical genetics and medical imaging. </w:t>
      </w:r>
    </w:p>
    <w:p w14:paraId="4BFC6B3B" w14:textId="77777777" w:rsidR="00CA4996" w:rsidRDefault="00CA4996" w:rsidP="00C14E38">
      <w:pPr>
        <w:spacing w:after="0" w:line="480" w:lineRule="auto"/>
        <w:jc w:val="both"/>
        <w:rPr>
          <w:rFonts w:ascii="Arial" w:eastAsia="Times New Roman" w:hAnsi="Arial" w:cs="Arial"/>
          <w:iCs/>
          <w:kern w:val="0"/>
          <w14:ligatures w14:val="none"/>
        </w:rPr>
      </w:pPr>
    </w:p>
    <w:p w14:paraId="2DAA9572" w14:textId="107C5AF6" w:rsidR="00CA4996" w:rsidRPr="00CA4996" w:rsidRDefault="00CA4996" w:rsidP="00C14E38">
      <w:pPr>
        <w:spacing w:after="0" w:line="480" w:lineRule="auto"/>
        <w:jc w:val="both"/>
        <w:rPr>
          <w:rFonts w:ascii="Arial" w:eastAsia="Times New Roman" w:hAnsi="Arial" w:cs="Arial"/>
          <w:iCs/>
          <w:kern w:val="0"/>
          <w:u w:val="single"/>
          <w14:ligatures w14:val="none"/>
        </w:rPr>
      </w:pPr>
      <w:r w:rsidRPr="00CA4996">
        <w:rPr>
          <w:rFonts w:ascii="Arial" w:eastAsia="Times New Roman" w:hAnsi="Arial" w:cs="Arial"/>
          <w:iCs/>
          <w:kern w:val="0"/>
          <w:u w:val="single"/>
          <w14:ligatures w14:val="none"/>
        </w:rPr>
        <w:t>Study approvals and status</w:t>
      </w:r>
    </w:p>
    <w:p w14:paraId="67D073A8" w14:textId="7A848F62" w:rsidR="00CA4996" w:rsidRDefault="00CA4996" w:rsidP="00C14E38">
      <w:pPr>
        <w:spacing w:after="0" w:line="480" w:lineRule="auto"/>
        <w:jc w:val="both"/>
        <w:rPr>
          <w:rFonts w:ascii="Arial" w:eastAsia="Times New Roman" w:hAnsi="Arial" w:cs="Arial"/>
          <w:iCs/>
          <w:kern w:val="0"/>
          <w14:ligatures w14:val="none"/>
        </w:rPr>
      </w:pPr>
      <w:r w:rsidRPr="00CA4996">
        <w:rPr>
          <w:rFonts w:ascii="Arial" w:eastAsia="Times New Roman" w:hAnsi="Arial" w:cs="Arial"/>
          <w:kern w:val="0"/>
          <w14:ligatures w14:val="none"/>
        </w:rPr>
        <w:t xml:space="preserve">The study </w:t>
      </w:r>
      <w:r>
        <w:rPr>
          <w:rFonts w:ascii="Arial" w:eastAsia="Times New Roman" w:hAnsi="Arial" w:cs="Arial"/>
          <w:kern w:val="0"/>
          <w14:ligatures w14:val="none"/>
        </w:rPr>
        <w:t>was</w:t>
      </w:r>
      <w:r w:rsidRPr="00CA4996">
        <w:rPr>
          <w:rFonts w:ascii="Arial" w:eastAsia="Times New Roman" w:hAnsi="Arial" w:cs="Arial"/>
          <w:kern w:val="0"/>
          <w14:ligatures w14:val="none"/>
        </w:rPr>
        <w:t xml:space="preserve"> prospectively registered with ClinicalTrials.gov (NCT05252819) on 23rd February 2022</w:t>
      </w:r>
      <w:r w:rsidR="008A0AE9">
        <w:rPr>
          <w:rFonts w:ascii="Arial" w:eastAsia="Times New Roman" w:hAnsi="Arial" w:cs="Arial"/>
          <w:kern w:val="0"/>
          <w14:ligatures w14:val="none"/>
        </w:rPr>
        <w:t xml:space="preserve">.  The study </w:t>
      </w:r>
      <w:r w:rsidRPr="00F970CD">
        <w:rPr>
          <w:rFonts w:ascii="Arial" w:eastAsia="Times New Roman" w:hAnsi="Arial" w:cs="Arial"/>
          <w:kern w:val="0"/>
          <w14:ligatures w14:val="none"/>
        </w:rPr>
        <w:t>received a favourable Research Ethics</w:t>
      </w:r>
      <w:r w:rsidR="004E0796">
        <w:rPr>
          <w:rFonts w:ascii="Arial" w:eastAsia="Times New Roman" w:hAnsi="Arial" w:cs="Arial"/>
          <w:kern w:val="0"/>
          <w14:ligatures w14:val="none"/>
        </w:rPr>
        <w:t xml:space="preserve"> </w:t>
      </w:r>
      <w:r w:rsidRPr="00F970CD">
        <w:rPr>
          <w:rFonts w:ascii="Arial" w:eastAsia="Times New Roman" w:hAnsi="Arial" w:cs="Arial"/>
          <w:kern w:val="0"/>
          <w14:ligatures w14:val="none"/>
        </w:rPr>
        <w:t xml:space="preserve">Committee opinion from the </w:t>
      </w:r>
      <w:r>
        <w:rPr>
          <w:rFonts w:ascii="Arial" w:eastAsia="Times New Roman" w:hAnsi="Arial" w:cs="Arial"/>
          <w:kern w:val="0"/>
          <w14:ligatures w14:val="none"/>
        </w:rPr>
        <w:t xml:space="preserve">United Kingdom NHS </w:t>
      </w:r>
      <w:r w:rsidRPr="00F970CD">
        <w:rPr>
          <w:rFonts w:ascii="Arial" w:eastAsia="Times New Roman" w:hAnsi="Arial" w:cs="Arial"/>
          <w:kern w:val="0"/>
          <w14:ligatures w14:val="none"/>
        </w:rPr>
        <w:t>Health Research Authority (ref. 22/YH/0053) on 6</w:t>
      </w:r>
      <w:r w:rsidRPr="00F970CD">
        <w:rPr>
          <w:rFonts w:ascii="Arial" w:eastAsia="Times New Roman" w:hAnsi="Arial" w:cs="Arial"/>
          <w:kern w:val="0"/>
          <w:vertAlign w:val="superscript"/>
          <w14:ligatures w14:val="none"/>
        </w:rPr>
        <w:t>th</w:t>
      </w:r>
      <w:r>
        <w:rPr>
          <w:rFonts w:ascii="Arial" w:eastAsia="Times New Roman" w:hAnsi="Arial" w:cs="Arial"/>
          <w:kern w:val="0"/>
          <w14:ligatures w14:val="none"/>
        </w:rPr>
        <w:t xml:space="preserve"> May 2022</w:t>
      </w:r>
      <w:r w:rsidR="008A0AE9">
        <w:rPr>
          <w:rFonts w:ascii="Arial" w:eastAsia="Times New Roman" w:hAnsi="Arial" w:cs="Arial"/>
          <w:kern w:val="0"/>
          <w14:ligatures w14:val="none"/>
        </w:rPr>
        <w:t>, and a minor amendment was approved on 20</w:t>
      </w:r>
      <w:r w:rsidR="008A0AE9" w:rsidRPr="008A0AE9">
        <w:rPr>
          <w:rFonts w:ascii="Arial" w:eastAsia="Times New Roman" w:hAnsi="Arial" w:cs="Arial"/>
          <w:kern w:val="0"/>
          <w:vertAlign w:val="superscript"/>
          <w14:ligatures w14:val="none"/>
        </w:rPr>
        <w:t>th</w:t>
      </w:r>
      <w:r w:rsidR="008A0AE9">
        <w:rPr>
          <w:rFonts w:ascii="Arial" w:eastAsia="Times New Roman" w:hAnsi="Arial" w:cs="Arial"/>
          <w:kern w:val="0"/>
          <w14:ligatures w14:val="none"/>
        </w:rPr>
        <w:t xml:space="preserve"> April 2023</w:t>
      </w:r>
      <w:r>
        <w:rPr>
          <w:rFonts w:ascii="Arial" w:eastAsia="Times New Roman" w:hAnsi="Arial" w:cs="Arial"/>
          <w:kern w:val="0"/>
          <w14:ligatures w14:val="none"/>
        </w:rPr>
        <w:t xml:space="preserve">.  </w:t>
      </w:r>
      <w:r w:rsidR="008A0AE9">
        <w:rPr>
          <w:rFonts w:ascii="Arial" w:eastAsia="Times New Roman" w:hAnsi="Arial" w:cs="Arial"/>
          <w:kern w:val="0"/>
          <w14:ligatures w14:val="none"/>
        </w:rPr>
        <w:t>The current approved study protocol is version 2 dated 3</w:t>
      </w:r>
      <w:r w:rsidR="008A0AE9" w:rsidRPr="008A0AE9">
        <w:rPr>
          <w:rFonts w:ascii="Arial" w:eastAsia="Times New Roman" w:hAnsi="Arial" w:cs="Arial"/>
          <w:kern w:val="0"/>
          <w:vertAlign w:val="superscript"/>
          <w14:ligatures w14:val="none"/>
        </w:rPr>
        <w:t>rd</w:t>
      </w:r>
      <w:r w:rsidR="008A0AE9">
        <w:rPr>
          <w:rFonts w:ascii="Arial" w:eastAsia="Times New Roman" w:hAnsi="Arial" w:cs="Arial"/>
          <w:kern w:val="0"/>
          <w14:ligatures w14:val="none"/>
        </w:rPr>
        <w:t xml:space="preserve"> April 2023.  </w:t>
      </w:r>
      <w:r w:rsidR="00690000">
        <w:rPr>
          <w:rFonts w:ascii="Arial" w:eastAsia="Times New Roman" w:hAnsi="Arial" w:cs="Arial"/>
          <w:kern w:val="0"/>
          <w14:ligatures w14:val="none"/>
        </w:rPr>
        <w:t xml:space="preserve">Recruitment commenced on </w:t>
      </w:r>
      <w:r w:rsidR="008A0AE9">
        <w:rPr>
          <w:rFonts w:ascii="Arial" w:eastAsia="Times New Roman" w:hAnsi="Arial" w:cs="Arial"/>
          <w:kern w:val="0"/>
          <w14:ligatures w14:val="none"/>
        </w:rPr>
        <w:t>1</w:t>
      </w:r>
      <w:r w:rsidR="008A0AE9" w:rsidRPr="008A0AE9">
        <w:rPr>
          <w:rFonts w:ascii="Arial" w:eastAsia="Times New Roman" w:hAnsi="Arial" w:cs="Arial"/>
          <w:kern w:val="0"/>
          <w:vertAlign w:val="superscript"/>
          <w14:ligatures w14:val="none"/>
        </w:rPr>
        <w:t>st</w:t>
      </w:r>
      <w:r w:rsidR="008A0AE9">
        <w:rPr>
          <w:rFonts w:ascii="Arial" w:eastAsia="Times New Roman" w:hAnsi="Arial" w:cs="Arial"/>
          <w:kern w:val="0"/>
          <w14:ligatures w14:val="none"/>
        </w:rPr>
        <w:t xml:space="preserve"> September </w:t>
      </w:r>
      <w:r w:rsidR="00690000">
        <w:rPr>
          <w:rFonts w:ascii="Arial" w:eastAsia="Times New Roman" w:hAnsi="Arial" w:cs="Arial"/>
          <w:kern w:val="0"/>
          <w14:ligatures w14:val="none"/>
        </w:rPr>
        <w:t>2022 and will close on 30</w:t>
      </w:r>
      <w:r w:rsidR="00690000" w:rsidRPr="00690000">
        <w:rPr>
          <w:rFonts w:ascii="Arial" w:eastAsia="Times New Roman" w:hAnsi="Arial" w:cs="Arial"/>
          <w:kern w:val="0"/>
          <w:vertAlign w:val="superscript"/>
          <w14:ligatures w14:val="none"/>
        </w:rPr>
        <w:t>th</w:t>
      </w:r>
      <w:r w:rsidR="00690000">
        <w:rPr>
          <w:rFonts w:ascii="Arial" w:eastAsia="Times New Roman" w:hAnsi="Arial" w:cs="Arial"/>
          <w:kern w:val="0"/>
          <w14:ligatures w14:val="none"/>
        </w:rPr>
        <w:t xml:space="preserve"> September 2023.  </w:t>
      </w:r>
    </w:p>
    <w:p w14:paraId="1D0B5D34" w14:textId="77777777" w:rsidR="00C14E38" w:rsidRPr="00F970CD" w:rsidRDefault="00C14E38" w:rsidP="00C14E38">
      <w:pPr>
        <w:spacing w:after="0" w:line="480" w:lineRule="auto"/>
        <w:jc w:val="both"/>
        <w:rPr>
          <w:rFonts w:ascii="Arial" w:eastAsia="Times New Roman" w:hAnsi="Arial" w:cs="Arial"/>
          <w:iCs/>
          <w:kern w:val="0"/>
          <w14:ligatures w14:val="none"/>
        </w:rPr>
      </w:pPr>
    </w:p>
    <w:p w14:paraId="58035082" w14:textId="77777777" w:rsidR="00C14E38" w:rsidRPr="00F970CD" w:rsidRDefault="00C14E38" w:rsidP="00C70CB8">
      <w:pPr>
        <w:spacing w:after="0" w:line="480" w:lineRule="auto"/>
        <w:contextualSpacing/>
        <w:jc w:val="both"/>
        <w:rPr>
          <w:rFonts w:ascii="Arial" w:hAnsi="Arial" w:cs="Arial"/>
          <w:kern w:val="0"/>
          <w:sz w:val="28"/>
          <w:szCs w:val="28"/>
          <w14:ligatures w14:val="none"/>
        </w:rPr>
      </w:pPr>
      <w:r w:rsidRPr="00F970CD">
        <w:rPr>
          <w:rFonts w:ascii="Arial" w:hAnsi="Arial" w:cs="Arial"/>
          <w:kern w:val="0"/>
          <w:sz w:val="28"/>
          <w:szCs w:val="28"/>
          <w14:ligatures w14:val="none"/>
        </w:rPr>
        <w:lastRenderedPageBreak/>
        <w:t>Discussion</w:t>
      </w:r>
    </w:p>
    <w:p w14:paraId="1234630C" w14:textId="77777777" w:rsidR="00C14E38" w:rsidRPr="00F970CD" w:rsidRDefault="00C14E38" w:rsidP="00C14E38">
      <w:pPr>
        <w:spacing w:after="0" w:line="480" w:lineRule="auto"/>
        <w:jc w:val="both"/>
        <w:rPr>
          <w:rFonts w:ascii="Arial" w:hAnsi="Arial" w:cs="Arial"/>
          <w:kern w:val="0"/>
          <w14:ligatures w14:val="none"/>
        </w:rPr>
      </w:pPr>
      <w:r w:rsidRPr="00F970CD">
        <w:rPr>
          <w:rFonts w:ascii="Arial" w:hAnsi="Arial" w:cs="Arial"/>
          <w:kern w:val="0"/>
          <w14:ligatures w14:val="none"/>
        </w:rPr>
        <w:t xml:space="preserve">This will be the first feasibility study assessing the use of WBMRI for cancer surveillance in children and young people with A-T and evaluating the psychosocial impact of participating in a cancer surveillance programme. </w:t>
      </w:r>
    </w:p>
    <w:p w14:paraId="7EC87256" w14:textId="77777777" w:rsidR="00C14E38" w:rsidRPr="00F970CD" w:rsidRDefault="00C14E38" w:rsidP="00C14E38">
      <w:pPr>
        <w:spacing w:after="0" w:line="480" w:lineRule="auto"/>
        <w:jc w:val="both"/>
        <w:rPr>
          <w:rFonts w:ascii="Arial" w:hAnsi="Arial" w:cs="Arial"/>
          <w:kern w:val="0"/>
          <w14:ligatures w14:val="none"/>
        </w:rPr>
      </w:pPr>
    </w:p>
    <w:p w14:paraId="6AD7492C" w14:textId="39FD29D1" w:rsidR="00C14E38" w:rsidRPr="00F970CD" w:rsidRDefault="00C14E38" w:rsidP="00C14E38">
      <w:pPr>
        <w:spacing w:after="0" w:line="480" w:lineRule="auto"/>
        <w:jc w:val="both"/>
        <w:rPr>
          <w:rFonts w:ascii="Arial" w:hAnsi="Arial" w:cs="Arial"/>
          <w:kern w:val="0"/>
          <w14:ligatures w14:val="none"/>
        </w:rPr>
      </w:pPr>
      <w:r w:rsidRPr="00F970CD">
        <w:rPr>
          <w:rFonts w:ascii="Arial" w:hAnsi="Arial" w:cs="Arial"/>
          <w:kern w:val="0"/>
          <w14:ligatures w14:val="none"/>
        </w:rPr>
        <w:t>A-T is a progressive disease that manifests in early childhood, with cancer being one of the most frequent reasons for mortality</w:t>
      </w:r>
      <w:r w:rsidRPr="00F970CD">
        <w:rPr>
          <w:rFonts w:ascii="Arial" w:hAnsi="Arial" w:cs="Arial"/>
          <w:kern w:val="0"/>
          <w14:ligatures w14:val="none"/>
        </w:rPr>
        <w:fldChar w:fldCharType="begin"/>
      </w:r>
      <w:r>
        <w:rPr>
          <w:rFonts w:ascii="Arial" w:hAnsi="Arial" w:cs="Arial"/>
          <w:kern w:val="0"/>
          <w14:ligatures w14:val="none"/>
        </w:rPr>
        <w:instrText xml:space="preserve"> ADDIN ZOTERO_ITEM CSL_CITATION {"citationID":"Cj5DoMiA","properties":{"formattedCitation":"\\super 4,7,39,40\\nosupersub{}","plainCitation":"4,7,39,40","noteIndex":0},"citationItems":[{"id":58,"uris":["http://zotero.org/users/6992411/items/4M4V2T3L"],"itemData":{"id":58,"type":"article-journal","abstract":"INTRODUCTION: Ataxia-telangiectasia (A-T) is a rare autosomal recessive syndrome characterized by progressive cerebellar ataxia, oculocutaneous telangiectasia, variable immunodeficiency, radiosensitivity, and cancer predisposition. Mutations cause A-T in the ataxia telangiectasia mutated (ATM) gene encoding a serine/threonine-protein kinase.\nAREAS COVERED: The authors reviewed the literature on PubMed, Web of Science, and Scopus databases to collect comprehensive data related to A-T. This review aims to discuss various update aspects of A-T, including epidemiology, pathogenesis, clinical manifestations, diagnosis, prognosis, and management.\nEXPERT OPINION: A-T as a congenital disorder has phenotypic heterogeneity, and the severity of symptoms in different patients depends on the severity of mutations. This review provides a comprehensive overview of A-T, although some relevant questions about pathogenesis remain unanswered, probably owing to the phenotypic heterogeneity of this monogenic disorder. The presence of various clinical and immunologic manifestations in A-T indicates that the identification of the role of defective ATM in phenotype can be helpful in the better management and treatment of patients in the future.","container-title":"Expert Review of Clinical Immunology","DOI":"10.1080/1744666X.2020.1810570","ISSN":"1744-8409","journalAbbreviation":"Expert Rev Clin Immunol","language":"eng","note":"PMID: 32791865","page":"1-13","source":"PubMed","title":"Ataxia-telangiectasia: epidemiology, pathogenesis, clinical phenotype, diagnosis, prognosis and management","title-short":"Ataxia-telangiectasia","author":[{"family":"Amirifar","given":"Parisa"},{"family":"Ranjouri","given":"Mohammad Reza"},{"family":"Lavin","given":"Martin"},{"family":"Abolhassani","given":"Hassan"},{"family":"Yazdani","given":"Reza"},{"family":"Aghamohammadi","given":"Asghar"}],"issued":{"date-parts":[["2020",10,15]]}}},{"id":558,"uris":["http://zotero.org/users/6992411/items/ZELVCALS"],"itemData":{"id":558,"type":"article-journal","abstract":"BACKGROUND: Ataxia-telangiectasia is an autosomal recessive, multi-system, and life-shortening disease caused by mutations in the ataxia-telangiectasia mutated gene. Although widely reported, there are no studies that give a comprehensive picture of this intriguing condition.\nOBJECTIVES: Understand the natural history of ataxia-telangiectasia (A-T), as reported in scientific literature.\nSEARCH METHODS: 107 search terms were identified and divided into 17 searches. Each search was performed in PubMed, Ovid SP (MEDLINE) 1946-present, OVID EMBASE 1980 -present, Web of Science core collection, Elsevier Scopus, and Cochrane Library.\nSELECTION CRITERIA: All human studies that report any aspect of A-T.\nDATA COLLECTION AND ANALYSIS: Search results were de-duplicated, data extracted (including author, publication year, country of origin, study design, population, participant characteristics, and clinical features). Quality of case-control and cohort studies was assessed by the Newcastle-Ottawa tool. Findings are reported descriptively and where possible data collated to report median (interquartile range, range) of outcomes of interest.\nMAIN RESULTS: 1314 cases reported 2134 presenting symptoms. The most common presenting symptom was abnormal gait (1160 cases; 188 studies) followed by recurrent infections in classical ataxia-telangiectasia and movement disorders in variant ataxia-telangiectasia. 687 cases reported 752 causes of death among which malignancy was the most frequently reported cause. Median (IQR, range) age of death (n = 294) was 14 years 0 months (10 years 0 months to 23 years 3 months, 1 year 3 months to 76 years 0 months).\nCONCLUSIONS: This review demonstrates the multi-system involvement in A-T, confirms that neurological symptoms are the most frequent presenting features in classical A-T but variants have diverse manifestations. We found that most individuals with A-T have life limited to teenage or early adulthood. Predominance of case reports, and case series demonstrate the lack of robust evidence to determine the natural history of A-T. We recommend population-based studies to fill this evidence gap.","container-title":"PloS One","DOI":"10.1371/journal.pone.0264177","ISSN":"1932-6203","issue":"3","journalAbbreviation":"PLoS One","language":"eng","note":"PMID: 35290391","page":"e0264177","source":"PubMed","title":"The natural history of ataxia-telangiectasia (A-T): A systematic review","title-short":"The natural history of ataxia-telangiectasia (A-T)","volume":"17","author":[{"family":"Petley","given":"Emily"},{"family":"Yule","given":"Alexander"},{"family":"Alexander","given":"Shaun"},{"family":"Ojha","given":"Shalini"},{"family":"Whitehouse","given":"William P."}],"issued":{"date-parts":[["2022"]]}}},{"id":706,"uris":["http://zotero.org/users/6992411/items/UK8Z5SHS"],"itemData":{"id":706,"type":"document","title":"Ataxia Telangiectasia service (Adult) - Service Specifications","URL":"https://www.england.nhs.uk/wp-content/uploads/2018/08/Ataxia-telangiectasia-service-adult.pdf","author":[{"family":"NHS England","given":""}],"issued":{"date-parts":[["2013"]],"season":"2014"}}},{"id":431,"uris":["http://zotero.org/users/6992411/items/5GLIYLPN"],"itemData":{"id":431,"type":"article-journal","abstract":"Ataxia telangiectasia is a rare, multiorgan neurodegenerative disorder with enhanced vulnerability to cancer and infection. Median survival in two large cohorts of patients with this disease, one prospective and one retrospective, is 25 and 19 years, with a wide range. Life expectancy does not correlate well with severity of neurological impairment.","container-title":"Archives of Disease in Childhood","DOI":"10.1136/adc.2006.094268","ISSN":"0003-9888","issue":"7","journalAbbreviation":"Arch Dis Child","note":"PMID: 16790721\nPMCID: PMC2082822","page":"610-611","source":"PubMed Central","title":"Survival probability in ataxia telangiectasia","volume":"91","author":[{"family":"Crawford","given":"T O"},{"family":"Skolasky","given":"R L"},{"family":"Fernandez","given":"R"},{"family":"Rosquist","given":"K J"},{"family":"Lederman","given":"H M"}],"issued":{"date-parts":[["2006",7]]}}}],"schema":"https://github.com/citation-style-language/schema/raw/master/csl-citation.json"} </w:instrText>
      </w:r>
      <w:r w:rsidRPr="00F970CD">
        <w:rPr>
          <w:rFonts w:ascii="Arial" w:hAnsi="Arial" w:cs="Arial"/>
          <w:kern w:val="0"/>
          <w14:ligatures w14:val="none"/>
        </w:rPr>
        <w:fldChar w:fldCharType="separate"/>
      </w:r>
      <w:r w:rsidRPr="00C14E38">
        <w:rPr>
          <w:rFonts w:ascii="Arial" w:hAnsi="Arial" w:cs="Arial"/>
          <w:kern w:val="0"/>
          <w:szCs w:val="24"/>
          <w:vertAlign w:val="superscript"/>
        </w:rPr>
        <w:t>4,7,39,40</w:t>
      </w:r>
      <w:r w:rsidRPr="00F970CD">
        <w:rPr>
          <w:rFonts w:ascii="Arial" w:hAnsi="Arial" w:cs="Arial"/>
          <w:kern w:val="0"/>
          <w14:ligatures w14:val="none"/>
        </w:rPr>
        <w:fldChar w:fldCharType="end"/>
      </w:r>
      <w:r w:rsidRPr="00F970CD">
        <w:rPr>
          <w:rFonts w:ascii="Arial" w:hAnsi="Arial" w:cs="Arial"/>
          <w:kern w:val="0"/>
          <w14:ligatures w14:val="none"/>
        </w:rPr>
        <w:t>. Despite the high cancer risk that people with A-T experience, cancer surveillance guidelines for management of children a</w:t>
      </w:r>
      <w:r w:rsidR="00611B9F">
        <w:rPr>
          <w:rFonts w:ascii="Arial" w:hAnsi="Arial" w:cs="Arial"/>
          <w:kern w:val="0"/>
          <w14:ligatures w14:val="none"/>
        </w:rPr>
        <w:t>nd young people with A-T are lacking</w:t>
      </w:r>
      <w:r w:rsidRPr="00F970CD">
        <w:rPr>
          <w:rFonts w:ascii="Arial" w:hAnsi="Arial" w:cs="Arial"/>
          <w:kern w:val="0"/>
          <w14:ligatures w14:val="none"/>
        </w:rPr>
        <w:t xml:space="preserve"> </w:t>
      </w:r>
      <w:r w:rsidRPr="00F970CD">
        <w:rPr>
          <w:rFonts w:ascii="Arial" w:hAnsi="Arial" w:cs="Arial"/>
          <w:kern w:val="0"/>
          <w14:ligatures w14:val="none"/>
        </w:rPr>
        <w:fldChar w:fldCharType="begin"/>
      </w:r>
      <w:r>
        <w:rPr>
          <w:rFonts w:ascii="Arial" w:hAnsi="Arial" w:cs="Arial"/>
          <w:kern w:val="0"/>
          <w14:ligatures w14:val="none"/>
        </w:rPr>
        <w:instrText xml:space="preserve"> ADDIN ZOTERO_ITEM CSL_CITATION {"citationID":"Uct3Vyj7","properties":{"formattedCitation":"\\super 4,6,8,9,41\\nosupersub{}","plainCitation":"4,6,8,9,41","noteIndex":0},"citationItems":[{"id":58,"uris":["http://zotero.org/users/6992411/items/4M4V2T3L"],"itemData":{"id":58,"type":"article-journal","abstract":"INTRODUCTION: Ataxia-telangiectasia (A-T) is a rare autosomal recessive syndrome characterized by progressive cerebellar ataxia, oculocutaneous telangiectasia, variable immunodeficiency, radiosensitivity, and cancer predisposition. Mutations cause A-T in the ataxia telangiectasia mutated (ATM) gene encoding a serine/threonine-protein kinase.\nAREAS COVERED: The authors reviewed the literature on PubMed, Web of Science, and Scopus databases to collect comprehensive data related to A-T. This review aims to discuss various update aspects of A-T, including epidemiology, pathogenesis, clinical manifestations, diagnosis, prognosis, and management.\nEXPERT OPINION: A-T as a congenital disorder has phenotypic heterogeneity, and the severity of symptoms in different patients depends on the severity of mutations. This review provides a comprehensive overview of A-T, although some relevant questions about pathogenesis remain unanswered, probably owing to the phenotypic heterogeneity of this monogenic disorder. The presence of various clinical and immunologic manifestations in A-T indicates that the identification of the role of defective ATM in phenotype can be helpful in the better management and treatment of patients in the future.","container-title":"Expert Review of Clinical Immunology","DOI":"10.1080/1744666X.2020.1810570","ISSN":"1744-8409","journalAbbreviation":"Expert Rev Clin Immunol","language":"eng","note":"PMID: 32791865","page":"1-13","source":"PubMed","title":"Ataxia-telangiectasia: epidemiology, pathogenesis, clinical phenotype, diagnosis, prognosis and management","title-short":"Ataxia-telangiectasia","author":[{"family":"Amirifar","given":"Parisa"},{"family":"Ranjouri","given":"Mohammad Reza"},{"family":"Lavin","given":"Martin"},{"family":"Abolhassani","given":"Hassan"},{"family":"Yazdani","given":"Reza"},{"family":"Aghamohammadi","given":"Asghar"}],"issued":{"date-parts":[["2020",10,15]]}}},{"id":399,"uris":["http://zotero.org/users/6992411/items/FRBNUSR9"],"itemData":{"id":399,"type":"book","edition":"1st","title":"Ataxia-telangiectasia in children: Guidance on diagnosis and clinical care.","author":[{"family":"The Ataxia Telangiectasia Society","given":""}],"issued":{"date-parts":[["2014"]]}}},{"id":196,"uris":["http://zotero.org/users/6992411/items/SYYW7JEQ"],"itemData":{"id":196,"type":"article-journal","abstract":"BACKGROUND: Immunodeficiency in ataxia telangiectasia (A-T) is less severe in patients expressing some mutant or normal ATM kinase activity. We, therefore, determined whether expression of residual ATM kinase activity also protected against tumour development in A-T.\nMETHODS: From a total of 296 consecutive genetically confirmed A-T patients from the British Isles and the Netherlands, we identified 66 patients who developed a malignant tumour; 47 lymphoid tumours and 19 non-lymphoid tumours were diagnosed. We determined their ATM mutations, and whether cells from these patients expressed any ATM with residual ATM kinase activity.\nRESULTS: In childhood, total absence of ATM kinase activity was associated, almost exclusively, with development of lymphoid tumours. There was an overwhelming preponderance of tumours in patients &lt;16 years without kinase activity compared with those with some residual activity, consistent with a substantial protective effect of residual ATM kinase activity against tumour development in childhood. In addition, the presence of eight breast cancers in A-T patients, a 30-fold increased risk, establishes breast cancer as part of the A-T phenotype.\nCONCLUSION: Overall, a spectrum of tumour types is associated with A-T, consistent with involvement of ATM in different mechanisms of tumour formation. Tumour type was influenced by ATM allelic heterogeneity, residual ATM kinase activity and age.","container-title":"British Journal of Cancer","DOI":"10.1038/bjc.2011.266","ISSN":"1532-1827","issue":"4","journalAbbreviation":"Br J Cancer","language":"eng","note":"PMID: 21792198\nPMCID: PMC3170966","page":"586-591","source":"PubMed","title":"Lymphoid tumours and breast cancer in ataxia telangiectasia; substantial protective effect of residual ATM kinase activity against childhood tumours","volume":"105","author":[{"family":"Reiman","given":"A."},{"family":"Srinivasan","given":"V."},{"family":"Barone","given":"G."},{"family":"Last","given":"J. I."},{"family":"Wootton","given":"L. L."},{"family":"Davies","given":"E. G."},{"family":"Verhagen","given":"M. M."},{"family":"Willemsen","given":"M. A."},{"family":"Weemaes","given":"C. M."},{"family":"Byrd","given":"P. J."},{"family":"Izatt","given":"L."},{"family":"Easton","given":"D. F."},{"family":"Thompson","given":"D. J."},{"family":"Taylor","given":"A. M."}],"issued":{"date-parts":[["2011",8,9]]}}},{"id":57,"uris":["http://zotero.org/users/6992411/items/WS67HKC8"],"itemData":{"id":57,"type":"article-journal","abstract":"PURPOSE: Biallelic mutations in ATM cause ataxia-telangiectasia (AT), a rare inherited disease with a high incidence of cancer. Precise estimates of the risk, presentation, and outcomes of cancer in patients with AT need to be addressed in large series.\nPATIENTS AND METHODS: In this large retrospective cohort, 69 patients with cancers (24.5%) were identified among 279 patients with AT. Centralized review was performed on 60% of the lymphomas. Incidence rates were compared with the French population, and risk factors were analyzed.\nRESULTS: Eight patients developed acute leukemias (including four T-cell acute lymphoblastic leukemias), 12 developed Hodgkin lymphoma (HL), 38 developed non-Hodgkin lymphoma (NHL), three developed T-cell prolymphocytic leukemia (T-PLL), and eight developed carcinoma at a median age of 8.3, 10.6, 9.7, 24.2, and 31.4 years, respectively (P &lt; .001). The majority of NHLs were aggressive B-cell NHL. Epstein-Barr virus was associated with all of the HLs and 50% of the NHLs. Overall survival was shorter in patients with AT who developed cancer compared with those who did not develop cancer (15 v 24 years, respectively; P &lt; .001). Survival was improved in patients who achieved a major response to treatment (3.46 v 0.87 years for major v minor responses, respectively; P = .011). Immunodeficiency was associated with increased risk of cancer. ATM mutation type was associated with a difference in survival in the entire cohort but not with cancer incidence or cancer survival.\nCONCLUSION: B-cell NHL, HL, and acute lymphoblastic leukemia occur at a high rate and earlier age than carcinomas in AT. T-PLLs are rarer than initially reported. Prognosis is poor, but patients may benefit from treatment with an improved survival.","container-title":"Journal of Clinical Oncology: Official Journal of the American Society of Clinical Oncology","DOI":"10.1200/JCO.2014.56.5101","ISSN":"1527-7755","issue":"2","journalAbbreviation":"J Clin Oncol","language":"eng","note":"PMID: 25488969","page":"202-208","source":"PubMed","title":"Incidence, presentation, and prognosis of malignancies in ataxia-telangiectasia: a report from the French national registry of primary immune deficiencies","title-short":"Incidence, presentation, and prognosis of malignancies in ataxia-telangiectasia","volume":"33","author":[{"family":"Suarez","given":"Felipe"},{"family":"Mahlaoui","given":"Nizar"},{"family":"Canioni","given":"Danielle"},{"family":"Andriamanga","given":"Chantal"},{"family":"Dubois d'Enghien","given":"Catherine"},{"family":"Brousse","given":"Nicole"},{"family":"Jais","given":"Jean-Philippe"},{"family":"Fischer","given":"Alain"},{"family":"Hermine","given":"Olivier"},{"family":"Stoppa-Lyonnet","given":"Dominique"}],"issued":{"date-parts":[["2015",1,10]]}}},{"id":190,"uris":["http://zotero.org/users/6992411/items/XAKVF559"],"itemData":{"id":190,"type":"article-journal","abstract":"Ataxia-telangiectasia (AT) is a neurodegenerative disorder characterized by ataxia, telangiectasia, and immunodeficiency. An increased risk of malignancies and respiratory diseases dramatically reduce life expectancy. To better counsel families, develop individual follow-up programs, and select patients for therapeutic trials, more knowledge is needed on factors influencing survival. This retrospective cohort study of 61 AT patients shows that classical AT patients had a shorter survival than variant patients (HR 5.9, 95%CI 2.0-17.7), especially once a malignancy was diagnosed (HR 2.5, 95%CI 1.1-5.5, compared to classical AT patients without malignancy). Patients with the hyper IgM phenotype with hypogammaglobulinemia (AT-HIGM) and patients with an IgG2 deficiency showed decreased survival compared to patients with normal IgG (HR 9.2, 95%CI 3.2-26.5) and patients with normal IgG2 levels (HR 7.8, 95%CI 1.7-36.2), respectively. If high risk treatment trials will become available for AT, those patients with factors indicating the poorest prognosis might be considered for inclusion first.","container-title":"Clinical Immunology (Orlando, Fla.)","DOI":"10.1016/j.clim.2017.01.009","ISSN":"1521-7035","journalAbbreviation":"Clin Immunol","language":"eng","note":"PMID: 28126470","page":"45-55","source":"PubMed","title":"Ataxia-telangiectasia: Immunodeficiency and survival","title-short":"Ataxia-telangiectasia","volume":"178","author":[{"family":"Os","given":"Nienke J. H.","non-dropping-particle":"van"},{"family":"Jansen","given":"Anne F. M."},{"family":"Deuren","given":"Marcel","non-dropping-particle":"van"},{"family":"Haraldsson","given":"Asgeir"},{"family":"Driel","given":"Nieke T. M.","non-dropping-particle":"van"},{"family":"Etzioni","given":"Amos"},{"family":"Flier","given":"Michiel","non-dropping-particle":"van der"},{"family":"Haaxma","given":"Charlotte A."},{"family":"Morio","given":"Tomohiro"},{"family":"Rawat","given":"Amit"},{"family":"Schoenaker","given":"Michiel H. D."},{"family":"Soresina","given":"Annarosa"},{"family":"Taylor","given":"Alexander M. R."},{"family":"Warrenburg","given":"Bart P. C.","non-dropping-particle":"van de"},{"family":"Weemaes","given":"Corry M. R."},{"family":"Roeleveld","given":"Nel"},{"family":"Willemsen","given":"Michèl A. A. P."}],"issued":{"date-parts":[["2017",5]]}}}],"schema":"https://github.com/citation-style-language/schema/raw/master/csl-citation.json"} </w:instrText>
      </w:r>
      <w:r w:rsidRPr="00F970CD">
        <w:rPr>
          <w:rFonts w:ascii="Arial" w:hAnsi="Arial" w:cs="Arial"/>
          <w:kern w:val="0"/>
          <w14:ligatures w14:val="none"/>
        </w:rPr>
        <w:fldChar w:fldCharType="separate"/>
      </w:r>
      <w:r w:rsidRPr="00C14E38">
        <w:rPr>
          <w:rFonts w:ascii="Arial" w:hAnsi="Arial" w:cs="Arial"/>
          <w:kern w:val="0"/>
          <w:szCs w:val="24"/>
          <w:vertAlign w:val="superscript"/>
        </w:rPr>
        <w:t>4,6,8,9,41</w:t>
      </w:r>
      <w:r w:rsidRPr="00F970CD">
        <w:rPr>
          <w:rFonts w:ascii="Arial" w:hAnsi="Arial" w:cs="Arial"/>
          <w:kern w:val="0"/>
          <w14:ligatures w14:val="none"/>
        </w:rPr>
        <w:fldChar w:fldCharType="end"/>
      </w:r>
      <w:r w:rsidRPr="00F970CD">
        <w:rPr>
          <w:rFonts w:ascii="Arial" w:hAnsi="Arial" w:cs="Arial"/>
          <w:kern w:val="0"/>
          <w14:ligatures w14:val="none"/>
        </w:rPr>
        <w:t xml:space="preserve">. </w:t>
      </w:r>
    </w:p>
    <w:p w14:paraId="601F079B" w14:textId="77777777" w:rsidR="00C14E38" w:rsidRPr="00F970CD" w:rsidRDefault="00C14E38" w:rsidP="00C14E38">
      <w:pPr>
        <w:spacing w:after="0" w:line="480" w:lineRule="auto"/>
        <w:jc w:val="both"/>
        <w:rPr>
          <w:rFonts w:ascii="Arial" w:hAnsi="Arial" w:cs="Arial"/>
          <w:kern w:val="0"/>
          <w14:ligatures w14:val="none"/>
        </w:rPr>
      </w:pPr>
    </w:p>
    <w:p w14:paraId="2173B16F" w14:textId="7BF191CC" w:rsidR="00C14E38" w:rsidRPr="00F970CD" w:rsidRDefault="00C14E38" w:rsidP="00C14E38">
      <w:pPr>
        <w:spacing w:after="0" w:line="480" w:lineRule="auto"/>
        <w:jc w:val="both"/>
        <w:rPr>
          <w:rFonts w:ascii="Arial" w:hAnsi="Arial" w:cs="Arial"/>
          <w:kern w:val="0"/>
          <w14:ligatures w14:val="none"/>
        </w:rPr>
      </w:pPr>
      <w:r w:rsidRPr="00F970CD">
        <w:rPr>
          <w:rFonts w:ascii="Arial" w:hAnsi="Arial" w:cs="Arial"/>
          <w:kern w:val="0"/>
          <w14:ligatures w14:val="none"/>
        </w:rPr>
        <w:t>The World Hea</w:t>
      </w:r>
      <w:r w:rsidR="00B65D72">
        <w:rPr>
          <w:rFonts w:ascii="Arial" w:hAnsi="Arial" w:cs="Arial"/>
          <w:kern w:val="0"/>
          <w14:ligatures w14:val="none"/>
        </w:rPr>
        <w:t xml:space="preserve">lth Organization </w:t>
      </w:r>
      <w:r w:rsidRPr="00F970CD">
        <w:rPr>
          <w:rFonts w:ascii="Arial" w:hAnsi="Arial" w:cs="Arial"/>
          <w:kern w:val="0"/>
          <w14:ligatures w14:val="none"/>
        </w:rPr>
        <w:t>states that “early cancer diagnosis improves cancer outcomes by providing care at the earliest possible stage”</w:t>
      </w:r>
      <w:r w:rsidRPr="00F970CD">
        <w:rPr>
          <w:rFonts w:ascii="Arial" w:hAnsi="Arial" w:cs="Arial"/>
          <w:kern w:val="0"/>
          <w14:ligatures w14:val="none"/>
        </w:rPr>
        <w:fldChar w:fldCharType="begin"/>
      </w:r>
      <w:r>
        <w:rPr>
          <w:rFonts w:ascii="Arial" w:hAnsi="Arial" w:cs="Arial"/>
          <w:kern w:val="0"/>
          <w14:ligatures w14:val="none"/>
        </w:rPr>
        <w:instrText xml:space="preserve"> ADDIN ZOTERO_ITEM CSL_CITATION {"citationID":"zT4cF9nn","properties":{"formattedCitation":"\\super 42\\nosupersub{}","plainCitation":"42","noteIndex":0},"citationItems":[{"id":477,"uris":["http://zotero.org/users/6992411/items/W55U57FR"],"itemData":{"id":477,"type":"webpage","abstract":"Early diagnosis of cancer generally increases the chances for successful treatment by focusing on detecting symptomatic patients as early as possible. Delays in accessing cancer care are common with late-stage presentation, particularly in lower resource settings and vulnerable populations. The consequences of delayed or inaccessible cancer care are lower likelihood of survival, greater morbidity of treatment and higher costs of care, resulting in avoidable deaths and disability from cancer. Early diagnosis improves cancer outcomes by providing care at the earliest possible stage and is therefore an important public health strategy in all settings.","language":"en","title":"Promoting Cancer Early Diagnosis","URL":"https://www.who.int/activities/improving-treatment-for-snakebite-patients","accessed":{"date-parts":[["2022",2,18]]}}}],"schema":"https://github.com/citation-style-language/schema/raw/master/csl-citation.json"} </w:instrText>
      </w:r>
      <w:r w:rsidRPr="00F970CD">
        <w:rPr>
          <w:rFonts w:ascii="Arial" w:hAnsi="Arial" w:cs="Arial"/>
          <w:kern w:val="0"/>
          <w14:ligatures w14:val="none"/>
        </w:rPr>
        <w:fldChar w:fldCharType="separate"/>
      </w:r>
      <w:r w:rsidRPr="00C14E38">
        <w:rPr>
          <w:rFonts w:ascii="Arial" w:hAnsi="Arial" w:cs="Arial"/>
          <w:kern w:val="0"/>
          <w:szCs w:val="24"/>
          <w:vertAlign w:val="superscript"/>
        </w:rPr>
        <w:t>42</w:t>
      </w:r>
      <w:r w:rsidRPr="00F970CD">
        <w:rPr>
          <w:rFonts w:ascii="Arial" w:hAnsi="Arial" w:cs="Arial"/>
          <w:kern w:val="0"/>
          <w14:ligatures w14:val="none"/>
        </w:rPr>
        <w:fldChar w:fldCharType="end"/>
      </w:r>
      <w:r w:rsidRPr="00F970CD">
        <w:rPr>
          <w:rFonts w:ascii="Arial" w:hAnsi="Arial" w:cs="Arial"/>
          <w:kern w:val="0"/>
          <w14:ligatures w14:val="none"/>
        </w:rPr>
        <w:t xml:space="preserve">. Furthermore, detecting cancer in a late stage will affect not only the chances of treatment success (and consequently the problems associated with treatment), but it will also increase the costs of care </w:t>
      </w:r>
      <w:r w:rsidRPr="00F970CD">
        <w:rPr>
          <w:rFonts w:ascii="Arial" w:hAnsi="Arial" w:cs="Arial"/>
          <w:kern w:val="0"/>
          <w14:ligatures w14:val="none"/>
        </w:rPr>
        <w:fldChar w:fldCharType="begin"/>
      </w:r>
      <w:r>
        <w:rPr>
          <w:rFonts w:ascii="Arial" w:hAnsi="Arial" w:cs="Arial"/>
          <w:kern w:val="0"/>
          <w14:ligatures w14:val="none"/>
        </w:rPr>
        <w:instrText xml:space="preserve"> ADDIN ZOTERO_ITEM CSL_CITATION {"citationID":"XBnoUWe9","properties":{"formattedCitation":"\\super 42\\nosupersub{}","plainCitation":"42","noteIndex":0},"citationItems":[{"id":477,"uris":["http://zotero.org/users/6992411/items/W55U57FR"],"itemData":{"id":477,"type":"webpage","abstract":"Early diagnosis of cancer generally increases the chances for successful treatment by focusing on detecting symptomatic patients as early as possible. Delays in accessing cancer care are common with late-stage presentation, particularly in lower resource settings and vulnerable populations. The consequences of delayed or inaccessible cancer care are lower likelihood of survival, greater morbidity of treatment and higher costs of care, resulting in avoidable deaths and disability from cancer. Early diagnosis improves cancer outcomes by providing care at the earliest possible stage and is therefore an important public health strategy in all settings.","language":"en","title":"Promoting Cancer Early Diagnosis","URL":"https://www.who.int/activities/improving-treatment-for-snakebite-patients","accessed":{"date-parts":[["2022",2,18]]}}}],"schema":"https://github.com/citation-style-language/schema/raw/master/csl-citation.json"} </w:instrText>
      </w:r>
      <w:r w:rsidRPr="00F970CD">
        <w:rPr>
          <w:rFonts w:ascii="Arial" w:hAnsi="Arial" w:cs="Arial"/>
          <w:kern w:val="0"/>
          <w14:ligatures w14:val="none"/>
        </w:rPr>
        <w:fldChar w:fldCharType="separate"/>
      </w:r>
      <w:r w:rsidRPr="00C14E38">
        <w:rPr>
          <w:rFonts w:ascii="Arial" w:hAnsi="Arial" w:cs="Arial"/>
          <w:kern w:val="0"/>
          <w:szCs w:val="24"/>
          <w:vertAlign w:val="superscript"/>
        </w:rPr>
        <w:t>42</w:t>
      </w:r>
      <w:r w:rsidRPr="00F970CD">
        <w:rPr>
          <w:rFonts w:ascii="Arial" w:hAnsi="Arial" w:cs="Arial"/>
          <w:kern w:val="0"/>
          <w14:ligatures w14:val="none"/>
        </w:rPr>
        <w:fldChar w:fldCharType="end"/>
      </w:r>
      <w:r w:rsidRPr="00F970CD">
        <w:rPr>
          <w:rFonts w:ascii="Arial" w:hAnsi="Arial" w:cs="Arial"/>
          <w:kern w:val="0"/>
          <w14:ligatures w14:val="none"/>
        </w:rPr>
        <w:t xml:space="preserve">. </w:t>
      </w:r>
      <w:r w:rsidRPr="00F970CD">
        <w:rPr>
          <w:rFonts w:ascii="Arial" w:eastAsia="Times New Roman" w:hAnsi="Arial" w:cs="Arial"/>
          <w:kern w:val="0"/>
          <w14:ligatures w14:val="none"/>
        </w:rPr>
        <w:t xml:space="preserve">Introduction of an imaging-based cancer surveillance programme – which this proposal is the first step towards - could benefit the children and families through earlier detection of treatable cancers.  </w:t>
      </w:r>
      <w:r w:rsidRPr="00F970CD">
        <w:rPr>
          <w:rFonts w:ascii="Arial" w:hAnsi="Arial" w:cs="Arial"/>
          <w:kern w:val="0"/>
          <w14:ligatures w14:val="none"/>
        </w:rPr>
        <w:t>Importantly, detecting cancer in its early stage may allow less aggressive treatment with tailored radiation doses</w:t>
      </w:r>
      <w:r w:rsidRPr="00F970CD">
        <w:rPr>
          <w:rFonts w:ascii="Arial" w:hAnsi="Arial" w:cs="Arial"/>
          <w:kern w:val="0"/>
          <w14:ligatures w14:val="none"/>
        </w:rPr>
        <w:fldChar w:fldCharType="begin"/>
      </w:r>
      <w:r>
        <w:rPr>
          <w:rFonts w:ascii="Arial" w:hAnsi="Arial" w:cs="Arial"/>
          <w:kern w:val="0"/>
          <w14:ligatures w14:val="none"/>
        </w:rPr>
        <w:instrText xml:space="preserve"> ADDIN ZOTERO_ITEM CSL_CITATION {"citationID":"mlNX8MIF","properties":{"formattedCitation":"\\super 1,3,9\\nosupersub{}","plainCitation":"1,3,9","noteIndex":0},"citationItems":[{"id":66,"uris":["http://zotero.org/users/6992411/items/Z67Y6AEP"],"itemData":{"id":66,"type":"article-journal","abstract":"Definition of the disease\nAtaxia telangiectasia (A-T) is an autosomal recessive disorder primarily characterized by cerebellar degeneration, telangiectasia, immunodeficiency, cancer susceptibility and radiation sensitivity. A-T is often referred to as a genome instability or DNA damage response syndrome.\n\nEpidemiology\nThe world-wide prevalence of A-T is estimated to be between 1 in 40,000 and 1 in 100,000 live births.\n\nClinical description\nA-T is a complex disorder with substantial variability in the severity of features between affected individuals, and at different ages. Neurological symptoms most often first appear in early childhood when children begin to sit or walk. They have immunological abnormalities including immunoglobulin and antibody deficiencies and lymphopenia. People with A-T have an increased predisposition for cancers, particularly of lymphoid origin. Pulmonary disease and problems with feeding, swallowing and nutrition are common, and there also may be dermatological and endocrine manifestations.\n\nEtiology\nA-T is caused by mutations in the ATM (Ataxia Telangiectasia, Mutated) gene which encodes a protein of the same name. The primary role of the ATM protein is coordination of cellular signaling pathways in response to DNA double strand breaks, oxidative stress and other genotoxic stress.\n\nDiagnosis\nThe diagnosis of A-T is usually suspected by the combination of neurologic clinical features (ataxia, abnormal control of eye movement, and postural instability) with one or more of the following which may vary in their appearance: telangiectasia, frequent sinopulmonary infections and specific laboratory abnormalities (e.g. IgA deficiency, lymphopenia especially affecting T lymphocytes and increased alpha-fetoprotein levels). Because certain neurological features may arise later, a diagnosis of A-T should be carefully considered for any ataxic child with an otherwise elusive diagnosis. A diagnosis of A-T can be confirmed by the finding of an absence or deficiency of the ATM protein or its kinase activity in cultured cell lines, and/or identification of the pathological mutations in the ATM gene.\n\nDifferential diagnosis\nThere are several other neurologic and rare disorders that physicians must consider when diagnosing A-T and that can be confused with A-T. Differentiation of these various disorders is often possible with clinical features and selected laboratory tests, including gene sequencing.\n\nAntenatal diagnosis\nAntenatal diagnosis can be performed if the pathological ATM mutations in that family have been identified in an affected child. In the absence of identifying mutations, antenatal diagnosis can be made by haplotype analysis if an unambiguous diagnosis of the affected child has been made through clinical and laboratory findings and/or ATM protein analysis.\n\nGenetic counseling\nGenetic counseling can help family members of a patient with A-T understand when genetic testing for A-T is feasible, and how the test results should be interpreted.\n\nManagement and prognosis\nTreatment of the neurologic problems associated with A-T is symptomatic and supportive, as there are no treatments known to slow or stop the neurodegeneration. However, other manifestations of A-T, e.g. immunodeficiency, pulmonary disease, failure to thrive and diabetes can be treated effectively.","container-title":"Orphanet Journal of Rare Diseases","DOI":"10.1186/s13023-016-0543-7","ISSN":"1750-1172","journalAbbreviation":"Orphanet J Rare Dis","note":"PMID: 27884168\nPMCID: PMC5123280","source":"PubMed Central","title":"Ataxia telangiectasia: a review","title-short":"Ataxia telangiectasia","URL":"https://www.ncbi.nlm.nih.gov/pmc/articles/PMC5123280/","volume":"11","author":[{"family":"Rothblum-Oviatt","given":"Cynthia"},{"family":"Wright","given":"Jennifer"},{"family":"Lefton-Greif","given":"Maureen A."},{"family":"McGrath-Morrow","given":"Sharon A."},{"family":"Crawford","given":"Thomas O."},{"family":"Lederman","given":"Howard M."}],"accessed":{"date-parts":[["2020",11,24]]},"issued":{"date-parts":[["2016",11,25]]}}},{"id":561,"uris":["http://zotero.org/users/6992411/items/AMJUEE4F"],"itemData":{"id":561,"type":"chapter","abstract":"Classic ataxia-telangiectasia (A-T) is characterized by progressive cerebellar ataxia beginning between ages one and four years, oculomotor apraxia, choreoathetosis, telangiectasias of the conjunctivae, immunodeficiency, frequent infections, and an increased risk for malignancy, particularly leukemia and lymphoma. Individuals with A-T are unusually sensitive to ionizing radiation. Non-classic forms of A-T have included adult-onset A-T and A-T with early-onset dystonia., The diagnosis of A-T is suspected based on suggestive clinical and preliminary laboratory findings and – in some instances – neuroimaging and family history. The diagnosis is established in a proband either by molecular genetic testing to document the presence of biallelic (homozygous or compound heterozygous) ATM pathogenic variants or (when available) by immunoblotting to test for absent or reduced ATM protein., \nTreatment of manifestations:\n Neurologic: supportive therapy and medications (when possible) as well as early and continued physical therapy to reduce the risk for contractures and scoliosis. Immunodeficiency: IVIG replacement therapy as needed for (a) frequent and severe infections and (b) low IgG levels. Pulmonary: multidisciplinary management that emphasizes monitoring of recurrent infection, pulmonary function, swallowing, nutrition, scoliosis, and immune function. Cancer: because of the increased sensitivity of A-T cells, use of ionizing radiation and some chemotherapeutic agents requires careful monitoring. Prevention of secondary complications: Gastrostomy tube feedings are occasionally needed to prevent pulmonary and nutritional complications of dysphagia. Attention to potential risks of anesthesia including impaired swallowing, increased risk of aspiration, reduced pulmonary function, and infection. Surveillance: In those with severe recurrent infections or undergoing immunomodulatory therapy: monitoring of pulmonary function and other signs of pulmonary disease and early signs of malignancy (e.g., weight loss, bruising, localized pain or swelling)., A-T is inherited in an autosomal recessive manner. At conception, the sibs of an affected individual have a 25% chance of being affected, a 50% chance of being asymptomatic carriers, and a 25% chance of being unaffected and not carriers. ATM heterozygotes (carriers) are at increased risk of developing cancer. Once the ATM pathogenic variants have been identified in an affected family member, carrier testing for at-risk relatives, prenatal testing for a pregnancy at increased risk, and preimplantation genetic testing are possible.","call-number":"NBK26468","container-title":"GeneReviews®","event-place":"Seattle (WA)","language":"eng","license":"Copyright © 1993-2022, University of Washington, Seattle. GeneReviews is a registered trademark of the University of Washington, Seattle. All rights reserved.","note":"PMID: 20301790","publisher":"University of Washington, Seattle","publisher-place":"Seattle (WA)","source":"PubMed","title":"Ataxia-Telangiectasia","URL":"http://www.ncbi.nlm.nih.gov/books/NBK26468/","author":[{"family":"Gatti","given":"Richard"},{"family":"Perlman","given":"Susan"}],"editor":[{"family":"Adam","given":"Margaret P."},{"family":"Ardinger","given":"Holly H."},{"family":"Pagon","given":"Roberta A."},{"family":"Wallace","given":"Stephanie E."},{"family":"Bean","given":"Lora JH"},{"family":"Gripp","given":"Karen W."},{"family":"Mirzaa","given":"Ghayda M."},{"family":"Amemiya","given":"Anne"}],"accessed":{"date-parts":[["2022",4,8]]},"issued":{"date-parts":[["1993"]]}}},{"id":57,"uris":["http://zotero.org/users/6992411/items/WS67HKC8"],"itemData":{"id":57,"type":"article-journal","abstract":"PURPOSE: Biallelic mutations in ATM cause ataxia-telangiectasia (AT), a rare inherited disease with a high incidence of cancer. Precise estimates of the risk, presentation, and outcomes of cancer in patients with AT need to be addressed in large series.\nPATIENTS AND METHODS: In this large retrospective cohort, 69 patients with cancers (24.5%) were identified among 279 patients with AT. Centralized review was performed on 60% of the lymphomas. Incidence rates were compared with the French population, and risk factors were analyzed.\nRESULTS: Eight patients developed acute leukemias (including four T-cell acute lymphoblastic leukemias), 12 developed Hodgkin lymphoma (HL), 38 developed non-Hodgkin lymphoma (NHL), three developed T-cell prolymphocytic leukemia (T-PLL), and eight developed carcinoma at a median age of 8.3, 10.6, 9.7, 24.2, and 31.4 years, respectively (P &lt; .001). The majority of NHLs were aggressive B-cell NHL. Epstein-Barr virus was associated with all of the HLs and 50% of the NHLs. Overall survival was shorter in patients with AT who developed cancer compared with those who did not develop cancer (15 v 24 years, respectively; P &lt; .001). Survival was improved in patients who achieved a major response to treatment (3.46 v 0.87 years for major v minor responses, respectively; P = .011). Immunodeficiency was associated with increased risk of cancer. ATM mutation type was associated with a difference in survival in the entire cohort but not with cancer incidence or cancer survival.\nCONCLUSION: B-cell NHL, HL, and acute lymphoblastic leukemia occur at a high rate and earlier age than carcinomas in AT. T-PLLs are rarer than initially reported. Prognosis is poor, but patients may benefit from treatment with an improved survival.","container-title":"Journal of Clinical Oncology: Official Journal of the American Society of Clinical Oncology","DOI":"10.1200/JCO.2014.56.5101","ISSN":"1527-7755","issue":"2","journalAbbreviation":"J Clin Oncol","language":"eng","note":"PMID: 25488969","page":"202-208","source":"PubMed","title":"Incidence, presentation, and prognosis of malignancies in ataxia-telangiectasia: a report from the French national registry of primary immune deficiencies","title-short":"Incidence, presentation, and prognosis of malignancies in ataxia-telangiectasia","volume":"33","author":[{"family":"Suarez","given":"Felipe"},{"family":"Mahlaoui","given":"Nizar"},{"family":"Canioni","given":"Danielle"},{"family":"Andriamanga","given":"Chantal"},{"family":"Dubois d'Enghien","given":"Catherine"},{"family":"Brousse","given":"Nicole"},{"family":"Jais","given":"Jean-Philippe"},{"family":"Fischer","given":"Alain"},{"family":"Hermine","given":"Olivier"},{"family":"Stoppa-Lyonnet","given":"Dominique"}],"issued":{"date-parts":[["2015",1,10]]}}}],"schema":"https://github.com/citation-style-language/schema/raw/master/csl-citation.json"} </w:instrText>
      </w:r>
      <w:r w:rsidRPr="00F970CD">
        <w:rPr>
          <w:rFonts w:ascii="Arial" w:hAnsi="Arial" w:cs="Arial"/>
          <w:kern w:val="0"/>
          <w14:ligatures w14:val="none"/>
        </w:rPr>
        <w:fldChar w:fldCharType="separate"/>
      </w:r>
      <w:r w:rsidRPr="00F970CD">
        <w:rPr>
          <w:rFonts w:ascii="Arial" w:hAnsi="Arial" w:cs="Arial"/>
          <w:kern w:val="0"/>
          <w:szCs w:val="24"/>
          <w:vertAlign w:val="superscript"/>
        </w:rPr>
        <w:t>1,3,9</w:t>
      </w:r>
      <w:r w:rsidRPr="00F970CD">
        <w:rPr>
          <w:rFonts w:ascii="Arial" w:hAnsi="Arial" w:cs="Arial"/>
          <w:kern w:val="0"/>
          <w14:ligatures w14:val="none"/>
        </w:rPr>
        <w:fldChar w:fldCharType="end"/>
      </w:r>
      <w:r w:rsidRPr="00F970CD">
        <w:rPr>
          <w:rFonts w:ascii="Arial" w:hAnsi="Arial" w:cs="Arial"/>
          <w:kern w:val="0"/>
          <w14:ligatures w14:val="none"/>
        </w:rPr>
        <w:t>. Indeed, it has been shown that dose-adapted therapy in people with A-T can significantly increase overall survival</w:t>
      </w:r>
      <w:r w:rsidRPr="00F970CD">
        <w:rPr>
          <w:rFonts w:ascii="Arial" w:hAnsi="Arial" w:cs="Arial"/>
          <w:kern w:val="0"/>
          <w14:ligatures w14:val="none"/>
        </w:rPr>
        <w:fldChar w:fldCharType="begin"/>
      </w:r>
      <w:r>
        <w:rPr>
          <w:rFonts w:ascii="Arial" w:hAnsi="Arial" w:cs="Arial"/>
          <w:kern w:val="0"/>
          <w14:ligatures w14:val="none"/>
        </w:rPr>
        <w:instrText xml:space="preserve"> ADDIN ZOTERO_ITEM CSL_CITATION {"citationID":"tV4x98VW","properties":{"formattedCitation":"\\super 9\\nosupersub{}","plainCitation":"9","noteIndex":0},"citationItems":[{"id":57,"uris":["http://zotero.org/users/6992411/items/WS67HKC8"],"itemData":{"id":57,"type":"article-journal","abstract":"PURPOSE: Biallelic mutations in ATM cause ataxia-telangiectasia (AT), a rare inherited disease with a high incidence of cancer. Precise estimates of the risk, presentation, and outcomes of cancer in patients with AT need to be addressed in large series.\nPATIENTS AND METHODS: In this large retrospective cohort, 69 patients with cancers (24.5%) were identified among 279 patients with AT. Centralized review was performed on 60% of the lymphomas. Incidence rates were compared with the French population, and risk factors were analyzed.\nRESULTS: Eight patients developed acute leukemias (including four T-cell acute lymphoblastic leukemias), 12 developed Hodgkin lymphoma (HL), 38 developed non-Hodgkin lymphoma (NHL), three developed T-cell prolymphocytic leukemia (T-PLL), and eight developed carcinoma at a median age of 8.3, 10.6, 9.7, 24.2, and 31.4 years, respectively (P &lt; .001). The majority of NHLs were aggressive B-cell NHL. Epstein-Barr virus was associated with all of the HLs and 50% of the NHLs. Overall survival was shorter in patients with AT who developed cancer compared with those who did not develop cancer (15 v 24 years, respectively; P &lt; .001). Survival was improved in patients who achieved a major response to treatment (3.46 v 0.87 years for major v minor responses, respectively; P = .011). Immunodeficiency was associated with increased risk of cancer. ATM mutation type was associated with a difference in survival in the entire cohort but not with cancer incidence or cancer survival.\nCONCLUSION: B-cell NHL, HL, and acute lymphoblastic leukemia occur at a high rate and earlier age than carcinomas in AT. T-PLLs are rarer than initially reported. Prognosis is poor, but patients may benefit from treatment with an improved survival.","container-title":"Journal of Clinical Oncology: Official Journal of the American Society of Clinical Oncology","DOI":"10.1200/JCO.2014.56.5101","ISSN":"1527-7755","issue":"2","journalAbbreviation":"J Clin Oncol","language":"eng","note":"PMID: 25488969","page":"202-208","source":"PubMed","title":"Incidence, presentation, and prognosis of malignancies in ataxia-telangiectasia: a report from the French national registry of primary immune deficiencies","title-short":"Incidence, presentation, and prognosis of malignancies in ataxia-telangiectasia","volume":"33","author":[{"family":"Suarez","given":"Felipe"},{"family":"Mahlaoui","given":"Nizar"},{"family":"Canioni","given":"Danielle"},{"family":"Andriamanga","given":"Chantal"},{"family":"Dubois d'Enghien","given":"Catherine"},{"family":"Brousse","given":"Nicole"},{"family":"Jais","given":"Jean-Philippe"},{"family":"Fischer","given":"Alain"},{"family":"Hermine","given":"Olivier"},{"family":"Stoppa-Lyonnet","given":"Dominique"}],"issued":{"date-parts":[["2015",1,10]]}}}],"schema":"https://github.com/citation-style-language/schema/raw/master/csl-citation.json"} </w:instrText>
      </w:r>
      <w:r w:rsidRPr="00F970CD">
        <w:rPr>
          <w:rFonts w:ascii="Arial" w:hAnsi="Arial" w:cs="Arial"/>
          <w:kern w:val="0"/>
          <w14:ligatures w14:val="none"/>
        </w:rPr>
        <w:fldChar w:fldCharType="separate"/>
      </w:r>
      <w:r w:rsidRPr="00F970CD">
        <w:rPr>
          <w:rFonts w:ascii="Arial" w:hAnsi="Arial" w:cs="Arial"/>
          <w:kern w:val="0"/>
          <w:szCs w:val="24"/>
          <w:vertAlign w:val="superscript"/>
        </w:rPr>
        <w:t>9</w:t>
      </w:r>
      <w:r w:rsidRPr="00F970CD">
        <w:rPr>
          <w:rFonts w:ascii="Arial" w:hAnsi="Arial" w:cs="Arial"/>
          <w:kern w:val="0"/>
          <w14:ligatures w14:val="none"/>
        </w:rPr>
        <w:fldChar w:fldCharType="end"/>
      </w:r>
      <w:r w:rsidRPr="00F970CD">
        <w:rPr>
          <w:rFonts w:ascii="Arial" w:hAnsi="Arial" w:cs="Arial"/>
          <w:kern w:val="0"/>
          <w14:ligatures w14:val="none"/>
        </w:rPr>
        <w:t>.</w:t>
      </w:r>
    </w:p>
    <w:p w14:paraId="6E6AA6EB" w14:textId="77777777" w:rsidR="00C14E38" w:rsidRPr="00F970CD" w:rsidRDefault="00C14E38" w:rsidP="00C14E38">
      <w:pPr>
        <w:spacing w:after="0" w:line="480" w:lineRule="auto"/>
        <w:jc w:val="both"/>
        <w:rPr>
          <w:rFonts w:ascii="Arial" w:hAnsi="Arial" w:cs="Arial"/>
          <w:kern w:val="0"/>
          <w14:ligatures w14:val="none"/>
        </w:rPr>
      </w:pPr>
    </w:p>
    <w:p w14:paraId="0C927D09" w14:textId="047ADB44" w:rsidR="00C14E38" w:rsidRPr="00F970CD" w:rsidRDefault="00C14E38" w:rsidP="00C14E38">
      <w:pPr>
        <w:spacing w:after="0" w:line="480" w:lineRule="auto"/>
        <w:jc w:val="both"/>
        <w:rPr>
          <w:rFonts w:ascii="Arial" w:hAnsi="Arial" w:cs="Arial"/>
          <w:kern w:val="0"/>
          <w14:ligatures w14:val="none"/>
        </w:rPr>
      </w:pPr>
      <w:r w:rsidRPr="00F970CD">
        <w:rPr>
          <w:rFonts w:ascii="Arial" w:hAnsi="Arial" w:cs="Arial"/>
          <w:kern w:val="0"/>
          <w14:ligatures w14:val="none"/>
        </w:rPr>
        <w:t>If this study proves the feasibility of this approach, we</w:t>
      </w:r>
      <w:r w:rsidR="00421117">
        <w:rPr>
          <w:rFonts w:ascii="Arial" w:hAnsi="Arial" w:cs="Arial"/>
          <w:kern w:val="0"/>
          <w14:ligatures w14:val="none"/>
        </w:rPr>
        <w:t xml:space="preserve"> will</w:t>
      </w:r>
      <w:r w:rsidRPr="00F970CD">
        <w:rPr>
          <w:rFonts w:ascii="Arial" w:hAnsi="Arial" w:cs="Arial"/>
          <w:kern w:val="0"/>
          <w14:ligatures w14:val="none"/>
        </w:rPr>
        <w:t xml:space="preserve"> aim to proceed to a large international trial to establish the efficacy and cost-effectiveness of this approach. This could have an important impact on clinical practice and patient care, as it could lead to development of cancer surveillance guidelines for people with A-T. </w:t>
      </w:r>
    </w:p>
    <w:p w14:paraId="6AD378E4" w14:textId="0F895457" w:rsidR="00C14E38" w:rsidRDefault="00C14E38" w:rsidP="00C14E38">
      <w:pPr>
        <w:spacing w:after="0" w:line="480" w:lineRule="auto"/>
        <w:jc w:val="both"/>
        <w:rPr>
          <w:rFonts w:ascii="Arial" w:eastAsia="Times New Roman" w:hAnsi="Arial" w:cs="Arial"/>
          <w:iCs/>
          <w:kern w:val="0"/>
          <w14:ligatures w14:val="none"/>
        </w:rPr>
      </w:pPr>
    </w:p>
    <w:p w14:paraId="22753F6F" w14:textId="77777777" w:rsidR="00935CD9" w:rsidRPr="00F970CD" w:rsidRDefault="00935CD9" w:rsidP="00C14E38">
      <w:pPr>
        <w:spacing w:after="0" w:line="480" w:lineRule="auto"/>
        <w:jc w:val="both"/>
        <w:rPr>
          <w:rFonts w:ascii="Arial" w:eastAsia="Times New Roman" w:hAnsi="Arial" w:cs="Arial"/>
          <w:iCs/>
          <w:kern w:val="0"/>
          <w14:ligatures w14:val="none"/>
        </w:rPr>
      </w:pPr>
    </w:p>
    <w:p w14:paraId="16DDAA33" w14:textId="77777777" w:rsidR="00CF7009" w:rsidRDefault="00CF7009">
      <w:pPr>
        <w:rPr>
          <w:rFonts w:ascii="Arial" w:hAnsi="Arial" w:cs="Arial"/>
          <w:kern w:val="0"/>
          <w:sz w:val="28"/>
          <w:szCs w:val="28"/>
          <w14:ligatures w14:val="none"/>
        </w:rPr>
      </w:pPr>
      <w:r>
        <w:rPr>
          <w:rFonts w:ascii="Arial" w:hAnsi="Arial" w:cs="Arial"/>
          <w:kern w:val="0"/>
          <w:sz w:val="28"/>
          <w:szCs w:val="28"/>
          <w14:ligatures w14:val="none"/>
        </w:rPr>
        <w:br w:type="page"/>
      </w:r>
    </w:p>
    <w:p w14:paraId="70028579" w14:textId="2F70D665" w:rsidR="00B61B50" w:rsidRDefault="00B61B50">
      <w:pPr>
        <w:rPr>
          <w:rFonts w:ascii="Arial" w:hAnsi="Arial" w:cs="Arial"/>
          <w:kern w:val="0"/>
          <w:sz w:val="28"/>
          <w:szCs w:val="28"/>
          <w14:ligatures w14:val="none"/>
        </w:rPr>
      </w:pPr>
      <w:r>
        <w:rPr>
          <w:rFonts w:ascii="Arial" w:hAnsi="Arial" w:cs="Arial"/>
          <w:kern w:val="0"/>
          <w:sz w:val="28"/>
          <w:szCs w:val="28"/>
          <w14:ligatures w14:val="none"/>
        </w:rPr>
        <w:lastRenderedPageBreak/>
        <w:t>List of abbreviations</w:t>
      </w:r>
    </w:p>
    <w:p w14:paraId="19DC88C9" w14:textId="77777777" w:rsidR="00B61B50" w:rsidRDefault="00B61B50">
      <w:pPr>
        <w:rPr>
          <w:rFonts w:ascii="Arial" w:hAnsi="Arial" w:cs="Arial"/>
          <w:kern w:val="0"/>
          <w:sz w:val="28"/>
          <w:szCs w:val="28"/>
          <w14:ligatures w14:val="none"/>
        </w:rPr>
      </w:pPr>
    </w:p>
    <w:p w14:paraId="3C783F37" w14:textId="77777777" w:rsidR="00B61B50" w:rsidRDefault="00B61B50" w:rsidP="00B61B50">
      <w:pPr>
        <w:spacing w:after="0" w:line="480" w:lineRule="auto"/>
        <w:jc w:val="both"/>
        <w:rPr>
          <w:rFonts w:ascii="Arial" w:eastAsia="Times New Roman" w:hAnsi="Arial" w:cs="Arial"/>
          <w:iCs/>
          <w:kern w:val="0"/>
          <w14:ligatures w14:val="none"/>
        </w:rPr>
      </w:pPr>
      <w:r>
        <w:rPr>
          <w:rFonts w:ascii="Arial" w:eastAsia="Times New Roman" w:hAnsi="Arial" w:cs="Arial"/>
          <w:iCs/>
          <w:kern w:val="0"/>
          <w14:ligatures w14:val="none"/>
        </w:rPr>
        <w:t xml:space="preserve">AACR - </w:t>
      </w:r>
      <w:r w:rsidRPr="00B65D72">
        <w:rPr>
          <w:rFonts w:ascii="Arial" w:eastAsia="Times New Roman" w:hAnsi="Arial" w:cs="Arial"/>
          <w:iCs/>
          <w:kern w:val="0"/>
          <w14:ligatures w14:val="none"/>
        </w:rPr>
        <w:t xml:space="preserve">American Association </w:t>
      </w:r>
      <w:r>
        <w:rPr>
          <w:rFonts w:ascii="Arial" w:eastAsia="Times New Roman" w:hAnsi="Arial" w:cs="Arial"/>
          <w:iCs/>
          <w:kern w:val="0"/>
          <w14:ligatures w14:val="none"/>
        </w:rPr>
        <w:t>for Cancer Research</w:t>
      </w:r>
    </w:p>
    <w:p w14:paraId="6C1E03A9" w14:textId="77777777" w:rsidR="00B61B50" w:rsidRPr="00EC680A" w:rsidRDefault="00B61B50" w:rsidP="00B61B50">
      <w:pPr>
        <w:spacing w:after="0" w:line="480" w:lineRule="auto"/>
        <w:jc w:val="both"/>
        <w:rPr>
          <w:rFonts w:ascii="Arial" w:eastAsia="Times New Roman" w:hAnsi="Arial" w:cs="Arial"/>
          <w:iCs/>
          <w:kern w:val="0"/>
          <w:lang w:val="pt-PT"/>
          <w14:ligatures w14:val="none"/>
        </w:rPr>
      </w:pPr>
      <w:r w:rsidRPr="00EC680A">
        <w:rPr>
          <w:rFonts w:ascii="Arial" w:eastAsia="Times New Roman" w:hAnsi="Arial" w:cs="Arial"/>
          <w:iCs/>
          <w:kern w:val="0"/>
          <w:lang w:val="pt-PT"/>
          <w14:ligatures w14:val="none"/>
        </w:rPr>
        <w:t>CPS - cancer predisposition syndromes</w:t>
      </w:r>
    </w:p>
    <w:p w14:paraId="567F4CB3" w14:textId="77777777" w:rsidR="00B61B50" w:rsidRPr="00EC680A" w:rsidRDefault="00B61B50" w:rsidP="00B61B50">
      <w:pPr>
        <w:spacing w:after="0" w:line="480" w:lineRule="auto"/>
        <w:jc w:val="both"/>
        <w:rPr>
          <w:rFonts w:ascii="Arial" w:eastAsia="Times New Roman" w:hAnsi="Arial" w:cs="Arial"/>
          <w:iCs/>
          <w:kern w:val="0"/>
          <w:lang w:val="pt-PT"/>
          <w14:ligatures w14:val="none"/>
        </w:rPr>
      </w:pPr>
      <w:r w:rsidRPr="00EC680A">
        <w:rPr>
          <w:rFonts w:ascii="Arial" w:eastAsia="Times New Roman" w:hAnsi="Arial" w:cs="Arial"/>
          <w:iCs/>
          <w:kern w:val="0"/>
          <w:lang w:val="pt-PT"/>
          <w14:ligatures w14:val="none"/>
        </w:rPr>
        <w:t>A-T – Ataxia telangiectasia</w:t>
      </w:r>
    </w:p>
    <w:p w14:paraId="6CAE54DA" w14:textId="77777777" w:rsidR="00B61B50" w:rsidRPr="00EC680A" w:rsidRDefault="00B61B50" w:rsidP="00B61B50">
      <w:pPr>
        <w:spacing w:after="0" w:line="480" w:lineRule="auto"/>
        <w:jc w:val="both"/>
        <w:rPr>
          <w:rFonts w:ascii="Arial" w:eastAsia="Times New Roman" w:hAnsi="Arial" w:cs="Arial"/>
          <w:iCs/>
          <w:kern w:val="0"/>
          <w:lang w:val="pt-PT"/>
          <w14:ligatures w14:val="none"/>
        </w:rPr>
      </w:pPr>
      <w:r w:rsidRPr="00EC680A">
        <w:rPr>
          <w:rFonts w:ascii="Arial" w:eastAsia="Times New Roman" w:hAnsi="Arial" w:cs="Arial"/>
          <w:iCs/>
          <w:kern w:val="0"/>
          <w:lang w:val="pt-PT"/>
          <w14:ligatures w14:val="none"/>
        </w:rPr>
        <w:t>ATM – Ataxia telangiectasia mutated</w:t>
      </w:r>
    </w:p>
    <w:p w14:paraId="76FA29A0" w14:textId="77777777" w:rsidR="00B61B50" w:rsidRDefault="00B61B50" w:rsidP="00B61B50">
      <w:pPr>
        <w:spacing w:after="0" w:line="480" w:lineRule="auto"/>
        <w:jc w:val="both"/>
        <w:rPr>
          <w:rFonts w:ascii="Arial" w:eastAsia="Times New Roman" w:hAnsi="Arial" w:cs="Arial"/>
          <w:iCs/>
          <w:kern w:val="0"/>
          <w14:ligatures w14:val="none"/>
        </w:rPr>
      </w:pPr>
      <w:r>
        <w:rPr>
          <w:rFonts w:ascii="Arial" w:eastAsia="Times New Roman" w:hAnsi="Arial" w:cs="Arial"/>
          <w:iCs/>
          <w:kern w:val="0"/>
          <w14:ligatures w14:val="none"/>
        </w:rPr>
        <w:t>DWI – Diffusion-weighted imaging</w:t>
      </w:r>
    </w:p>
    <w:p w14:paraId="761BD7D5" w14:textId="77777777" w:rsidR="00B61B50" w:rsidRDefault="00B61B50" w:rsidP="00B61B50">
      <w:pPr>
        <w:spacing w:after="0" w:line="480" w:lineRule="auto"/>
        <w:jc w:val="both"/>
        <w:rPr>
          <w:rFonts w:ascii="Arial" w:eastAsia="Times New Roman" w:hAnsi="Arial" w:cs="Arial"/>
          <w:iCs/>
          <w:kern w:val="0"/>
          <w14:ligatures w14:val="none"/>
        </w:rPr>
      </w:pPr>
      <w:r>
        <w:rPr>
          <w:rFonts w:ascii="Arial" w:eastAsia="Times New Roman" w:hAnsi="Arial" w:cs="Arial"/>
          <w:iCs/>
          <w:kern w:val="0"/>
          <w14:ligatures w14:val="none"/>
        </w:rPr>
        <w:t>MPRAGE – Magnetization-prepped rapid gradient echo</w:t>
      </w:r>
    </w:p>
    <w:p w14:paraId="2533F832" w14:textId="77777777" w:rsidR="00B61B50" w:rsidRDefault="00B61B50" w:rsidP="00B61B50">
      <w:pPr>
        <w:spacing w:after="0" w:line="480" w:lineRule="auto"/>
        <w:jc w:val="both"/>
        <w:rPr>
          <w:rFonts w:ascii="Arial" w:eastAsia="Times New Roman" w:hAnsi="Arial" w:cs="Arial"/>
          <w:iCs/>
          <w:kern w:val="0"/>
          <w14:ligatures w14:val="none"/>
        </w:rPr>
      </w:pPr>
      <w:r>
        <w:rPr>
          <w:rFonts w:ascii="Arial" w:eastAsia="Times New Roman" w:hAnsi="Arial" w:cs="Arial"/>
          <w:iCs/>
          <w:kern w:val="0"/>
          <w14:ligatures w14:val="none"/>
        </w:rPr>
        <w:t>MRI – Magnetic resonance imaging</w:t>
      </w:r>
    </w:p>
    <w:p w14:paraId="55C56CB5" w14:textId="77777777" w:rsidR="00B61B50" w:rsidRDefault="00B61B50" w:rsidP="00B61B50">
      <w:pPr>
        <w:spacing w:after="0" w:line="480" w:lineRule="auto"/>
        <w:jc w:val="both"/>
        <w:rPr>
          <w:rFonts w:ascii="Arial" w:eastAsia="Times New Roman" w:hAnsi="Arial" w:cs="Arial"/>
          <w:iCs/>
          <w:kern w:val="0"/>
          <w14:ligatures w14:val="none"/>
        </w:rPr>
      </w:pPr>
      <w:r>
        <w:rPr>
          <w:rFonts w:ascii="Arial" w:eastAsia="Times New Roman" w:hAnsi="Arial" w:cs="Arial"/>
          <w:iCs/>
          <w:kern w:val="0"/>
          <w14:ligatures w14:val="none"/>
        </w:rPr>
        <w:t>NHS – National Health Service</w:t>
      </w:r>
    </w:p>
    <w:p w14:paraId="11E82DBB" w14:textId="77777777" w:rsidR="00B61B50" w:rsidRDefault="00B61B50" w:rsidP="00B61B50">
      <w:pPr>
        <w:spacing w:after="0" w:line="480" w:lineRule="auto"/>
        <w:jc w:val="both"/>
        <w:rPr>
          <w:rFonts w:ascii="Arial" w:eastAsia="Times New Roman" w:hAnsi="Arial" w:cs="Arial"/>
          <w:iCs/>
          <w:kern w:val="0"/>
          <w14:ligatures w14:val="none"/>
        </w:rPr>
      </w:pPr>
      <w:r>
        <w:rPr>
          <w:rFonts w:ascii="Arial" w:eastAsia="Times New Roman" w:hAnsi="Arial" w:cs="Arial"/>
          <w:iCs/>
          <w:kern w:val="0"/>
          <w14:ligatures w14:val="none"/>
        </w:rPr>
        <w:t>STIR – Short tau inversion recovery</w:t>
      </w:r>
    </w:p>
    <w:p w14:paraId="132F0779" w14:textId="77777777" w:rsidR="00B61B50" w:rsidRPr="00F970CD" w:rsidRDefault="00B61B50" w:rsidP="00B61B50">
      <w:pPr>
        <w:spacing w:after="0" w:line="480" w:lineRule="auto"/>
        <w:jc w:val="both"/>
        <w:rPr>
          <w:rFonts w:ascii="Arial" w:eastAsia="Times New Roman" w:hAnsi="Arial" w:cs="Arial"/>
          <w:iCs/>
          <w:kern w:val="0"/>
          <w14:ligatures w14:val="none"/>
        </w:rPr>
      </w:pPr>
      <w:r>
        <w:rPr>
          <w:rFonts w:ascii="Arial" w:eastAsia="Times New Roman" w:hAnsi="Arial" w:cs="Arial"/>
          <w:iCs/>
          <w:kern w:val="0"/>
          <w14:ligatures w14:val="none"/>
        </w:rPr>
        <w:t>WBMRI – Whole body magnetic resonance imaging</w:t>
      </w:r>
    </w:p>
    <w:p w14:paraId="01AD54BE" w14:textId="3CCEA1A0" w:rsidR="00F46D64" w:rsidRPr="006F1852" w:rsidRDefault="00F46D64">
      <w:pPr>
        <w:rPr>
          <w:rFonts w:ascii="Arial" w:hAnsi="Arial" w:cs="Arial"/>
          <w:kern w:val="0"/>
          <w14:ligatures w14:val="none"/>
        </w:rPr>
      </w:pPr>
    </w:p>
    <w:p w14:paraId="5E1B541C" w14:textId="77777777" w:rsidR="006F1852" w:rsidRPr="006F1852" w:rsidRDefault="006F1852">
      <w:pPr>
        <w:rPr>
          <w:rFonts w:ascii="Arial" w:hAnsi="Arial" w:cs="Arial"/>
          <w:kern w:val="0"/>
          <w14:ligatures w14:val="none"/>
        </w:rPr>
      </w:pPr>
    </w:p>
    <w:p w14:paraId="229E97BC" w14:textId="592F2BBA" w:rsidR="00935CD9" w:rsidRDefault="00935CD9" w:rsidP="00935CD9">
      <w:pPr>
        <w:spacing w:after="0" w:line="480" w:lineRule="auto"/>
        <w:jc w:val="both"/>
        <w:rPr>
          <w:rFonts w:ascii="Arial" w:eastAsia="Times New Roman" w:hAnsi="Arial" w:cs="Arial"/>
          <w:iCs/>
          <w:kern w:val="0"/>
          <w14:ligatures w14:val="none"/>
        </w:rPr>
      </w:pPr>
      <w:r w:rsidRPr="00F970CD">
        <w:rPr>
          <w:rFonts w:ascii="Arial" w:hAnsi="Arial" w:cs="Arial"/>
          <w:kern w:val="0"/>
          <w:sz w:val="28"/>
          <w:szCs w:val="28"/>
          <w14:ligatures w14:val="none"/>
        </w:rPr>
        <w:t>Declaratio</w:t>
      </w:r>
      <w:r>
        <w:rPr>
          <w:rFonts w:ascii="Arial" w:hAnsi="Arial" w:cs="Arial"/>
          <w:kern w:val="0"/>
          <w:sz w:val="28"/>
          <w:szCs w:val="28"/>
          <w14:ligatures w14:val="none"/>
        </w:rPr>
        <w:t>ns</w:t>
      </w:r>
    </w:p>
    <w:p w14:paraId="08583373" w14:textId="17D238FE" w:rsidR="006F1852" w:rsidRDefault="006F1852" w:rsidP="006F1852">
      <w:pPr>
        <w:spacing w:after="0" w:line="480" w:lineRule="auto"/>
        <w:jc w:val="both"/>
        <w:rPr>
          <w:rFonts w:ascii="Arial" w:eastAsia="Times New Roman" w:hAnsi="Arial" w:cs="Arial"/>
          <w:iCs/>
          <w:kern w:val="0"/>
          <w14:ligatures w14:val="none"/>
        </w:rPr>
      </w:pPr>
      <w:r>
        <w:rPr>
          <w:rFonts w:ascii="Arial" w:eastAsia="Times New Roman" w:hAnsi="Arial" w:cs="Arial"/>
          <w:iCs/>
          <w:kern w:val="0"/>
          <w14:ligatures w14:val="none"/>
        </w:rPr>
        <w:t>i. Ethics approval and consent to participate</w:t>
      </w:r>
    </w:p>
    <w:p w14:paraId="7EB77F60" w14:textId="77777777" w:rsidR="00690000" w:rsidRDefault="00690000" w:rsidP="00690000">
      <w:pPr>
        <w:spacing w:after="0" w:line="480" w:lineRule="auto"/>
        <w:jc w:val="both"/>
        <w:rPr>
          <w:rFonts w:ascii="Arial" w:eastAsia="Times New Roman" w:hAnsi="Arial" w:cs="Arial"/>
          <w:kern w:val="0"/>
          <w14:ligatures w14:val="none"/>
        </w:rPr>
      </w:pPr>
    </w:p>
    <w:p w14:paraId="5BB20522" w14:textId="543E9AE8" w:rsidR="008A0AE9" w:rsidRPr="00F970CD" w:rsidRDefault="006F1852" w:rsidP="008A0AE9">
      <w:pPr>
        <w:spacing w:after="0" w:line="480" w:lineRule="auto"/>
        <w:jc w:val="both"/>
        <w:rPr>
          <w:rFonts w:ascii="Arial" w:eastAsia="Times New Roman" w:hAnsi="Arial" w:cs="Arial"/>
          <w:iCs/>
          <w:kern w:val="0"/>
          <w14:ligatures w14:val="none"/>
        </w:rPr>
      </w:pPr>
      <w:r w:rsidRPr="00F970CD">
        <w:rPr>
          <w:rFonts w:ascii="Arial" w:eastAsia="Times New Roman" w:hAnsi="Arial" w:cs="Arial"/>
          <w:kern w:val="0"/>
          <w14:ligatures w14:val="none"/>
        </w:rPr>
        <w:t xml:space="preserve">This study received a favourable Research Ethics Committee opinion from the </w:t>
      </w:r>
      <w:r>
        <w:rPr>
          <w:rFonts w:ascii="Arial" w:eastAsia="Times New Roman" w:hAnsi="Arial" w:cs="Arial"/>
          <w:kern w:val="0"/>
          <w14:ligatures w14:val="none"/>
        </w:rPr>
        <w:t xml:space="preserve">United Kingdom National Health Service (NHS) </w:t>
      </w:r>
      <w:r w:rsidRPr="00F970CD">
        <w:rPr>
          <w:rFonts w:ascii="Arial" w:eastAsia="Times New Roman" w:hAnsi="Arial" w:cs="Arial"/>
          <w:kern w:val="0"/>
          <w14:ligatures w14:val="none"/>
        </w:rPr>
        <w:t>Health Research Authority (ref. 22/YH/0053) on 6</w:t>
      </w:r>
      <w:r w:rsidRPr="00F970CD">
        <w:rPr>
          <w:rFonts w:ascii="Arial" w:eastAsia="Times New Roman" w:hAnsi="Arial" w:cs="Arial"/>
          <w:kern w:val="0"/>
          <w:vertAlign w:val="superscript"/>
          <w14:ligatures w14:val="none"/>
        </w:rPr>
        <w:t>th</w:t>
      </w:r>
      <w:r>
        <w:rPr>
          <w:rFonts w:ascii="Arial" w:eastAsia="Times New Roman" w:hAnsi="Arial" w:cs="Arial"/>
          <w:kern w:val="0"/>
          <w14:ligatures w14:val="none"/>
        </w:rPr>
        <w:t xml:space="preserve"> May 2022. </w:t>
      </w:r>
      <w:r w:rsidR="00690000">
        <w:rPr>
          <w:rFonts w:ascii="Arial" w:eastAsia="Times New Roman" w:hAnsi="Arial" w:cs="Arial"/>
          <w:kern w:val="0"/>
          <w14:ligatures w14:val="none"/>
        </w:rPr>
        <w:t xml:space="preserve"> </w:t>
      </w:r>
      <w:r w:rsidR="004E0796">
        <w:rPr>
          <w:rFonts w:ascii="Arial" w:eastAsia="Times New Roman" w:hAnsi="Arial" w:cs="Arial"/>
          <w:kern w:val="0"/>
          <w14:ligatures w14:val="none"/>
        </w:rPr>
        <w:t xml:space="preserve">Amendments to the protocol approved by the </w:t>
      </w:r>
      <w:r w:rsidR="004E0796" w:rsidRPr="00F970CD">
        <w:rPr>
          <w:rFonts w:ascii="Arial" w:eastAsia="Times New Roman" w:hAnsi="Arial" w:cs="Arial"/>
          <w:kern w:val="0"/>
          <w14:ligatures w14:val="none"/>
        </w:rPr>
        <w:t xml:space="preserve">Research Ethics Committee </w:t>
      </w:r>
      <w:r w:rsidR="004E0796">
        <w:rPr>
          <w:rFonts w:ascii="Arial" w:eastAsia="Times New Roman" w:hAnsi="Arial" w:cs="Arial"/>
          <w:kern w:val="0"/>
          <w14:ligatures w14:val="none"/>
        </w:rPr>
        <w:t xml:space="preserve">will be communicated directly with the Sponsor and Investigators.  </w:t>
      </w:r>
      <w:r w:rsidR="00690000">
        <w:rPr>
          <w:rFonts w:ascii="Arial" w:eastAsia="Times New Roman" w:hAnsi="Arial" w:cs="Arial"/>
          <w:kern w:val="0"/>
          <w14:ligatures w14:val="none"/>
        </w:rPr>
        <w:t>The study is sponsored by University of Nottingham</w:t>
      </w:r>
      <w:r w:rsidR="00690000" w:rsidRPr="00690000">
        <w:rPr>
          <w:rFonts w:ascii="Arial" w:eastAsia="Times New Roman" w:hAnsi="Arial" w:cs="Arial"/>
          <w:kern w:val="0"/>
          <w14:ligatures w14:val="none"/>
        </w:rPr>
        <w:t xml:space="preserve"> Research and Innovation</w:t>
      </w:r>
      <w:r w:rsidR="00690000">
        <w:rPr>
          <w:rFonts w:ascii="Arial" w:eastAsia="Times New Roman" w:hAnsi="Arial" w:cs="Arial"/>
          <w:kern w:val="0"/>
          <w14:ligatures w14:val="none"/>
        </w:rPr>
        <w:t xml:space="preserve"> (Contact address: J</w:t>
      </w:r>
      <w:r w:rsidR="00690000" w:rsidRPr="00690000">
        <w:rPr>
          <w:rFonts w:ascii="Arial" w:eastAsia="Times New Roman" w:hAnsi="Arial" w:cs="Arial"/>
          <w:kern w:val="0"/>
          <w14:ligatures w14:val="none"/>
        </w:rPr>
        <w:t>ubilee Conference Centre</w:t>
      </w:r>
      <w:r w:rsidR="00690000">
        <w:rPr>
          <w:rFonts w:ascii="Arial" w:eastAsia="Times New Roman" w:hAnsi="Arial" w:cs="Arial"/>
          <w:kern w:val="0"/>
          <w14:ligatures w14:val="none"/>
        </w:rPr>
        <w:t xml:space="preserve">, </w:t>
      </w:r>
      <w:r w:rsidR="00690000" w:rsidRPr="00690000">
        <w:rPr>
          <w:rFonts w:ascii="Arial" w:eastAsia="Times New Roman" w:hAnsi="Arial" w:cs="Arial"/>
          <w:kern w:val="0"/>
          <w14:ligatures w14:val="none"/>
        </w:rPr>
        <w:t>Triumph Road</w:t>
      </w:r>
      <w:r w:rsidR="00690000">
        <w:rPr>
          <w:rFonts w:ascii="Arial" w:eastAsia="Times New Roman" w:hAnsi="Arial" w:cs="Arial"/>
          <w:kern w:val="0"/>
          <w14:ligatures w14:val="none"/>
        </w:rPr>
        <w:t xml:space="preserve">, </w:t>
      </w:r>
      <w:r w:rsidR="00690000" w:rsidRPr="00690000">
        <w:rPr>
          <w:rFonts w:ascii="Arial" w:eastAsia="Times New Roman" w:hAnsi="Arial" w:cs="Arial"/>
          <w:kern w:val="0"/>
          <w14:ligatures w14:val="none"/>
        </w:rPr>
        <w:t>Nottingham, NG8 1DH</w:t>
      </w:r>
      <w:r w:rsidR="00690000">
        <w:rPr>
          <w:rFonts w:ascii="Arial" w:eastAsia="Times New Roman" w:hAnsi="Arial" w:cs="Arial"/>
          <w:kern w:val="0"/>
          <w14:ligatures w14:val="none"/>
        </w:rPr>
        <w:t>, United Kingdom).</w:t>
      </w:r>
      <w:r w:rsidR="008A0AE9">
        <w:rPr>
          <w:rFonts w:ascii="Arial" w:eastAsia="Times New Roman" w:hAnsi="Arial" w:cs="Arial"/>
          <w:kern w:val="0"/>
          <w14:ligatures w14:val="none"/>
        </w:rPr>
        <w:t xml:space="preserve"> </w:t>
      </w:r>
      <w:r w:rsidR="008A0AE9">
        <w:rPr>
          <w:rFonts w:ascii="Arial" w:eastAsia="Times New Roman" w:hAnsi="Arial" w:cs="Arial"/>
          <w:iCs/>
          <w:kern w:val="0"/>
          <w14:ligatures w14:val="none"/>
        </w:rPr>
        <w:t>The sponsor has no role in the collection, analysis or presentation of data arising from the study.</w:t>
      </w:r>
    </w:p>
    <w:p w14:paraId="5BFC723D" w14:textId="77777777" w:rsidR="00690000" w:rsidRDefault="00690000" w:rsidP="00690000">
      <w:pPr>
        <w:spacing w:after="0" w:line="480" w:lineRule="auto"/>
        <w:jc w:val="both"/>
        <w:rPr>
          <w:rFonts w:ascii="Arial" w:eastAsia="Times New Roman" w:hAnsi="Arial" w:cs="Arial"/>
          <w:kern w:val="0"/>
          <w14:ligatures w14:val="none"/>
        </w:rPr>
      </w:pPr>
    </w:p>
    <w:p w14:paraId="191624C2" w14:textId="0B14AD7F" w:rsidR="006F1852" w:rsidRPr="00F970CD" w:rsidRDefault="006F1852" w:rsidP="00690000">
      <w:pPr>
        <w:spacing w:after="0" w:line="480" w:lineRule="auto"/>
        <w:jc w:val="both"/>
        <w:rPr>
          <w:rFonts w:ascii="Arial" w:eastAsia="Times New Roman" w:hAnsi="Arial" w:cs="Arial"/>
          <w:iCs/>
          <w:kern w:val="0"/>
          <w14:ligatures w14:val="none"/>
        </w:rPr>
      </w:pPr>
      <w:r>
        <w:rPr>
          <w:rFonts w:ascii="Arial" w:eastAsia="Times New Roman" w:hAnsi="Arial" w:cs="Arial"/>
          <w:kern w:val="0"/>
          <w14:ligatures w14:val="none"/>
        </w:rPr>
        <w:t>W</w:t>
      </w:r>
      <w:r w:rsidRPr="006F1852">
        <w:rPr>
          <w:rFonts w:ascii="Arial" w:eastAsia="Times New Roman" w:hAnsi="Arial" w:cs="Arial"/>
          <w:kern w:val="0"/>
          <w14:ligatures w14:val="none"/>
        </w:rPr>
        <w:t>ritten informed</w:t>
      </w:r>
      <w:r>
        <w:rPr>
          <w:rFonts w:ascii="Arial" w:eastAsia="Times New Roman" w:hAnsi="Arial" w:cs="Arial"/>
          <w:kern w:val="0"/>
          <w14:ligatures w14:val="none"/>
        </w:rPr>
        <w:t xml:space="preserve"> consent will be obtained from participants aged 16 and over, or from the parent</w:t>
      </w:r>
      <w:r w:rsidRPr="006F1852">
        <w:rPr>
          <w:rFonts w:ascii="Arial" w:eastAsia="Times New Roman" w:hAnsi="Arial" w:cs="Arial"/>
          <w:kern w:val="0"/>
          <w14:ligatures w14:val="none"/>
        </w:rPr>
        <w:t xml:space="preserve"> / guardian consent for </w:t>
      </w:r>
      <w:r>
        <w:rPr>
          <w:rFonts w:ascii="Arial" w:eastAsia="Times New Roman" w:hAnsi="Arial" w:cs="Arial"/>
          <w:kern w:val="0"/>
          <w14:ligatures w14:val="none"/>
        </w:rPr>
        <w:t>participants aged 4 to 15 years. Additionally c</w:t>
      </w:r>
      <w:r w:rsidRPr="006F1852">
        <w:rPr>
          <w:rFonts w:ascii="Arial" w:eastAsia="Times New Roman" w:hAnsi="Arial" w:cs="Arial"/>
          <w:kern w:val="0"/>
          <w14:ligatures w14:val="none"/>
        </w:rPr>
        <w:t>hildren and young people under age 16 years will be asked for their as</w:t>
      </w:r>
      <w:r>
        <w:rPr>
          <w:rFonts w:ascii="Arial" w:eastAsia="Times New Roman" w:hAnsi="Arial" w:cs="Arial"/>
          <w:kern w:val="0"/>
          <w14:ligatures w14:val="none"/>
        </w:rPr>
        <w:t>sent agreeing to participation.</w:t>
      </w:r>
    </w:p>
    <w:p w14:paraId="3ABA8457" w14:textId="4C6E851C" w:rsidR="006F1852" w:rsidRPr="00F970CD" w:rsidRDefault="006F1852" w:rsidP="006F1852">
      <w:pPr>
        <w:spacing w:after="0" w:line="480" w:lineRule="auto"/>
        <w:jc w:val="both"/>
        <w:rPr>
          <w:rFonts w:ascii="Arial" w:eastAsia="Times New Roman" w:hAnsi="Arial" w:cs="Arial"/>
          <w:iCs/>
          <w:kern w:val="0"/>
          <w14:ligatures w14:val="none"/>
        </w:rPr>
      </w:pPr>
    </w:p>
    <w:p w14:paraId="6A02C0BC" w14:textId="34FB2E4A" w:rsidR="006F1852" w:rsidRDefault="006F1852" w:rsidP="006F1852">
      <w:pPr>
        <w:spacing w:after="0" w:line="480" w:lineRule="auto"/>
        <w:jc w:val="both"/>
        <w:rPr>
          <w:rFonts w:ascii="Arial" w:eastAsia="Times New Roman" w:hAnsi="Arial" w:cs="Arial"/>
          <w:iCs/>
          <w:kern w:val="0"/>
          <w14:ligatures w14:val="none"/>
        </w:rPr>
      </w:pPr>
      <w:r>
        <w:rPr>
          <w:rFonts w:ascii="Arial" w:eastAsia="Times New Roman" w:hAnsi="Arial" w:cs="Arial"/>
          <w:iCs/>
          <w:kern w:val="0"/>
          <w14:ligatures w14:val="none"/>
        </w:rPr>
        <w:t>ii</w:t>
      </w:r>
      <w:r w:rsidRPr="00935CD9">
        <w:rPr>
          <w:rFonts w:ascii="Arial" w:eastAsia="Times New Roman" w:hAnsi="Arial" w:cs="Arial"/>
          <w:iCs/>
          <w:kern w:val="0"/>
          <w14:ligatures w14:val="none"/>
        </w:rPr>
        <w:t>. Consent for publication (include appropriate statements)</w:t>
      </w:r>
    </w:p>
    <w:p w14:paraId="06A8DF8A" w14:textId="77777777" w:rsidR="006F1852" w:rsidRDefault="006F1852" w:rsidP="006F1852">
      <w:pPr>
        <w:spacing w:after="0" w:line="480" w:lineRule="auto"/>
        <w:jc w:val="both"/>
        <w:rPr>
          <w:rFonts w:ascii="Arial" w:eastAsia="Times New Roman" w:hAnsi="Arial" w:cs="Arial"/>
          <w:iCs/>
          <w:kern w:val="0"/>
          <w14:ligatures w14:val="none"/>
        </w:rPr>
      </w:pPr>
      <w:r>
        <w:rPr>
          <w:rFonts w:ascii="Arial" w:eastAsia="Times New Roman" w:hAnsi="Arial" w:cs="Arial"/>
          <w:iCs/>
          <w:kern w:val="0"/>
          <w14:ligatures w14:val="none"/>
        </w:rPr>
        <w:t>Not applicable</w:t>
      </w:r>
    </w:p>
    <w:p w14:paraId="232BA706" w14:textId="77777777" w:rsidR="006F1852" w:rsidRDefault="006F1852" w:rsidP="00935CD9">
      <w:pPr>
        <w:spacing w:after="0" w:line="480" w:lineRule="auto"/>
        <w:jc w:val="both"/>
        <w:rPr>
          <w:rFonts w:ascii="Arial" w:eastAsia="Times New Roman" w:hAnsi="Arial" w:cs="Arial"/>
          <w:iCs/>
          <w:kern w:val="0"/>
          <w14:ligatures w14:val="none"/>
        </w:rPr>
      </w:pPr>
    </w:p>
    <w:p w14:paraId="6A157534" w14:textId="77777777" w:rsidR="006F1852" w:rsidRDefault="006F1852" w:rsidP="006F1852">
      <w:pPr>
        <w:spacing w:after="0" w:line="480" w:lineRule="auto"/>
        <w:jc w:val="both"/>
        <w:rPr>
          <w:rFonts w:ascii="Arial" w:eastAsia="Times New Roman" w:hAnsi="Arial" w:cs="Arial"/>
          <w:iCs/>
          <w:kern w:val="0"/>
          <w14:ligatures w14:val="none"/>
        </w:rPr>
      </w:pPr>
      <w:r>
        <w:rPr>
          <w:rFonts w:ascii="Arial" w:eastAsia="Times New Roman" w:hAnsi="Arial" w:cs="Arial"/>
          <w:iCs/>
          <w:kern w:val="0"/>
          <w14:ligatures w14:val="none"/>
        </w:rPr>
        <w:t>iii</w:t>
      </w:r>
      <w:r w:rsidRPr="00935CD9">
        <w:rPr>
          <w:rFonts w:ascii="Arial" w:eastAsia="Times New Roman" w:hAnsi="Arial" w:cs="Arial"/>
          <w:iCs/>
          <w:kern w:val="0"/>
          <w14:ligatures w14:val="none"/>
        </w:rPr>
        <w:t>. Availabil</w:t>
      </w:r>
      <w:r>
        <w:rPr>
          <w:rFonts w:ascii="Arial" w:eastAsia="Times New Roman" w:hAnsi="Arial" w:cs="Arial"/>
          <w:iCs/>
          <w:kern w:val="0"/>
          <w14:ligatures w14:val="none"/>
        </w:rPr>
        <w:t>ity of data and materials</w:t>
      </w:r>
    </w:p>
    <w:p w14:paraId="543E2BF3" w14:textId="3912026D" w:rsidR="006F1852" w:rsidRDefault="006F1852" w:rsidP="006F1852">
      <w:pPr>
        <w:spacing w:after="0" w:line="480" w:lineRule="auto"/>
        <w:jc w:val="both"/>
        <w:rPr>
          <w:rFonts w:ascii="Arial" w:eastAsia="Times New Roman" w:hAnsi="Arial" w:cs="Arial"/>
          <w:iCs/>
          <w:kern w:val="0"/>
          <w14:ligatures w14:val="none"/>
        </w:rPr>
      </w:pPr>
      <w:r>
        <w:rPr>
          <w:rFonts w:ascii="Arial" w:eastAsia="Times New Roman" w:hAnsi="Arial" w:cs="Arial"/>
          <w:iCs/>
          <w:kern w:val="0"/>
          <w14:ligatures w14:val="none"/>
        </w:rPr>
        <w:t>All study documents can be shared on reasonable request to the corresponding author.  In view of the small sample size for this feasibility study, and the rarity of childhood A-T, we will not be sharing</w:t>
      </w:r>
      <w:r w:rsidR="009141C7">
        <w:rPr>
          <w:rFonts w:ascii="Arial" w:eastAsia="Times New Roman" w:hAnsi="Arial" w:cs="Arial"/>
          <w:iCs/>
          <w:kern w:val="0"/>
          <w14:ligatures w14:val="none"/>
        </w:rPr>
        <w:t xml:space="preserve"> individual</w:t>
      </w:r>
      <w:r>
        <w:rPr>
          <w:rFonts w:ascii="Arial" w:eastAsia="Times New Roman" w:hAnsi="Arial" w:cs="Arial"/>
          <w:iCs/>
          <w:kern w:val="0"/>
          <w14:ligatures w14:val="none"/>
        </w:rPr>
        <w:t xml:space="preserve"> participant data arising from the study in view of the risk of participant’s being identified.  This is consistent with the Research Ethics Committee approval for the study.</w:t>
      </w:r>
    </w:p>
    <w:p w14:paraId="5CDBDC71" w14:textId="77777777" w:rsidR="006F1852" w:rsidRDefault="006F1852" w:rsidP="006F1852">
      <w:pPr>
        <w:spacing w:after="0" w:line="480" w:lineRule="auto"/>
        <w:jc w:val="both"/>
        <w:rPr>
          <w:rFonts w:ascii="Arial" w:eastAsia="Times New Roman" w:hAnsi="Arial" w:cs="Arial"/>
          <w:iCs/>
          <w:kern w:val="0"/>
          <w14:ligatures w14:val="none"/>
        </w:rPr>
      </w:pPr>
    </w:p>
    <w:p w14:paraId="13B274BF" w14:textId="544353B4" w:rsidR="006F1852" w:rsidRDefault="006F1852" w:rsidP="006F1852">
      <w:pPr>
        <w:spacing w:after="0" w:line="480" w:lineRule="auto"/>
        <w:jc w:val="both"/>
        <w:rPr>
          <w:rFonts w:ascii="Arial" w:eastAsia="Times New Roman" w:hAnsi="Arial" w:cs="Arial"/>
          <w:iCs/>
          <w:kern w:val="0"/>
          <w14:ligatures w14:val="none"/>
        </w:rPr>
      </w:pPr>
      <w:r>
        <w:rPr>
          <w:rFonts w:ascii="Arial" w:eastAsia="Times New Roman" w:hAnsi="Arial" w:cs="Arial"/>
          <w:iCs/>
          <w:kern w:val="0"/>
          <w14:ligatures w14:val="none"/>
        </w:rPr>
        <w:t>iv</w:t>
      </w:r>
      <w:r w:rsidRPr="00935CD9">
        <w:rPr>
          <w:rFonts w:ascii="Arial" w:eastAsia="Times New Roman" w:hAnsi="Arial" w:cs="Arial"/>
          <w:iCs/>
          <w:kern w:val="0"/>
          <w14:ligatures w14:val="none"/>
        </w:rPr>
        <w:t xml:space="preserve">. Competing interests </w:t>
      </w:r>
    </w:p>
    <w:p w14:paraId="40356E79" w14:textId="77777777" w:rsidR="006F1852" w:rsidRDefault="006F1852" w:rsidP="006F1852">
      <w:pPr>
        <w:spacing w:after="0" w:line="480" w:lineRule="auto"/>
        <w:jc w:val="both"/>
        <w:rPr>
          <w:rFonts w:ascii="Arial" w:eastAsia="Times New Roman" w:hAnsi="Arial" w:cs="Arial"/>
          <w:iCs/>
          <w:kern w:val="0"/>
          <w14:ligatures w14:val="none"/>
        </w:rPr>
      </w:pPr>
      <w:r>
        <w:rPr>
          <w:rFonts w:ascii="Arial" w:eastAsia="Times New Roman" w:hAnsi="Arial" w:cs="Arial"/>
          <w:iCs/>
          <w:kern w:val="0"/>
          <w14:ligatures w14:val="none"/>
        </w:rPr>
        <w:t>None</w:t>
      </w:r>
    </w:p>
    <w:p w14:paraId="79A4B5A3" w14:textId="77777777" w:rsidR="006F1852" w:rsidRDefault="006F1852" w:rsidP="006F1852">
      <w:pPr>
        <w:spacing w:after="0" w:line="480" w:lineRule="auto"/>
        <w:jc w:val="both"/>
        <w:rPr>
          <w:rFonts w:ascii="Arial" w:eastAsia="Times New Roman" w:hAnsi="Arial" w:cs="Arial"/>
          <w:iCs/>
          <w:kern w:val="0"/>
          <w14:ligatures w14:val="none"/>
        </w:rPr>
      </w:pPr>
    </w:p>
    <w:p w14:paraId="472B15F4" w14:textId="2C3BF885" w:rsidR="00935CD9" w:rsidRDefault="006F1852" w:rsidP="00935CD9">
      <w:pPr>
        <w:spacing w:after="0" w:line="480" w:lineRule="auto"/>
        <w:jc w:val="both"/>
        <w:rPr>
          <w:rFonts w:ascii="Arial" w:eastAsia="Times New Roman" w:hAnsi="Arial" w:cs="Arial"/>
          <w:iCs/>
          <w:kern w:val="0"/>
          <w14:ligatures w14:val="none"/>
        </w:rPr>
      </w:pPr>
      <w:r>
        <w:rPr>
          <w:rFonts w:ascii="Arial" w:eastAsia="Times New Roman" w:hAnsi="Arial" w:cs="Arial"/>
          <w:iCs/>
          <w:kern w:val="0"/>
          <w14:ligatures w14:val="none"/>
        </w:rPr>
        <w:t>v</w:t>
      </w:r>
      <w:r w:rsidR="00935CD9" w:rsidRPr="00935CD9">
        <w:rPr>
          <w:rFonts w:ascii="Arial" w:eastAsia="Times New Roman" w:hAnsi="Arial" w:cs="Arial"/>
          <w:iCs/>
          <w:kern w:val="0"/>
          <w14:ligatures w14:val="none"/>
        </w:rPr>
        <w:t>.</w:t>
      </w:r>
      <w:r w:rsidR="00935CD9">
        <w:rPr>
          <w:rFonts w:ascii="Arial" w:eastAsia="Times New Roman" w:hAnsi="Arial" w:cs="Arial"/>
          <w:iCs/>
          <w:kern w:val="0"/>
          <w14:ligatures w14:val="none"/>
        </w:rPr>
        <w:t xml:space="preserve"> Funding</w:t>
      </w:r>
    </w:p>
    <w:p w14:paraId="56D4BFAD" w14:textId="6493696A" w:rsidR="00935CD9" w:rsidRPr="00F970CD" w:rsidRDefault="00935CD9" w:rsidP="00935CD9">
      <w:pPr>
        <w:spacing w:after="0" w:line="480" w:lineRule="auto"/>
        <w:jc w:val="both"/>
        <w:rPr>
          <w:rFonts w:ascii="Arial" w:eastAsia="Times New Roman" w:hAnsi="Arial" w:cs="Arial"/>
          <w:iCs/>
          <w:kern w:val="0"/>
          <w14:ligatures w14:val="none"/>
        </w:rPr>
      </w:pPr>
      <w:r w:rsidRPr="00F970CD">
        <w:rPr>
          <w:rFonts w:ascii="Arial" w:eastAsia="Times New Roman" w:hAnsi="Arial" w:cs="Arial"/>
          <w:iCs/>
          <w:kern w:val="0"/>
          <w14:ligatures w14:val="none"/>
        </w:rPr>
        <w:t xml:space="preserve">This study is funded by a grant from Action for A-T (ref. 20NOT05). Renata Neves is supported by a Doctoral Fellowship awarded by the College of Radiographers (ref. DF021). </w:t>
      </w:r>
      <w:r w:rsidR="008A0AE9">
        <w:rPr>
          <w:rFonts w:ascii="Arial" w:eastAsia="Times New Roman" w:hAnsi="Arial" w:cs="Arial"/>
          <w:iCs/>
          <w:kern w:val="0"/>
          <w14:ligatures w14:val="none"/>
        </w:rPr>
        <w:t xml:space="preserve">The funders </w:t>
      </w:r>
      <w:r w:rsidR="00CA4996">
        <w:rPr>
          <w:rFonts w:ascii="Arial" w:eastAsia="Times New Roman" w:hAnsi="Arial" w:cs="Arial"/>
          <w:iCs/>
          <w:kern w:val="0"/>
          <w14:ligatures w14:val="none"/>
        </w:rPr>
        <w:t>have no role in the collection, analysis or presentation of data arising from the study.</w:t>
      </w:r>
    </w:p>
    <w:p w14:paraId="4B99AE08" w14:textId="77777777" w:rsidR="00935CD9" w:rsidRPr="00935CD9" w:rsidRDefault="00935CD9" w:rsidP="00935CD9">
      <w:pPr>
        <w:spacing w:after="0" w:line="480" w:lineRule="auto"/>
        <w:jc w:val="both"/>
        <w:rPr>
          <w:rFonts w:ascii="Arial" w:eastAsia="Times New Roman" w:hAnsi="Arial" w:cs="Arial"/>
          <w:iCs/>
          <w:kern w:val="0"/>
          <w14:ligatures w14:val="none"/>
        </w:rPr>
      </w:pPr>
    </w:p>
    <w:p w14:paraId="7E6B95C8" w14:textId="4336A44A" w:rsidR="009141C7" w:rsidRPr="00F970CD" w:rsidRDefault="009141C7" w:rsidP="009141C7">
      <w:pPr>
        <w:spacing w:after="0" w:line="480" w:lineRule="auto"/>
        <w:jc w:val="both"/>
        <w:rPr>
          <w:rFonts w:ascii="Arial" w:eastAsia="Times New Roman" w:hAnsi="Arial" w:cs="Arial"/>
          <w:iCs/>
          <w:kern w:val="0"/>
          <w14:ligatures w14:val="none"/>
        </w:rPr>
      </w:pPr>
      <w:r>
        <w:rPr>
          <w:rFonts w:ascii="Arial" w:eastAsia="Times New Roman" w:hAnsi="Arial" w:cs="Arial"/>
          <w:iCs/>
          <w:kern w:val="0"/>
          <w14:ligatures w14:val="none"/>
        </w:rPr>
        <w:t>v</w:t>
      </w:r>
      <w:r w:rsidRPr="00935CD9">
        <w:rPr>
          <w:rFonts w:ascii="Arial" w:eastAsia="Times New Roman" w:hAnsi="Arial" w:cs="Arial"/>
          <w:iCs/>
          <w:kern w:val="0"/>
          <w14:ligatures w14:val="none"/>
        </w:rPr>
        <w:t>i. Authors' contributions</w:t>
      </w:r>
    </w:p>
    <w:p w14:paraId="4365690F" w14:textId="32FDC19C" w:rsidR="004459AD" w:rsidRDefault="004459AD" w:rsidP="009141C7">
      <w:pPr>
        <w:spacing w:after="0" w:line="480" w:lineRule="auto"/>
        <w:jc w:val="both"/>
        <w:rPr>
          <w:rFonts w:ascii="Arial" w:hAnsi="Arial" w:cs="Arial"/>
          <w:bCs/>
          <w:color w:val="000000"/>
        </w:rPr>
      </w:pPr>
      <w:r>
        <w:rPr>
          <w:rFonts w:ascii="Arial" w:eastAsia="Times New Roman" w:hAnsi="Arial" w:cs="Arial"/>
          <w:iCs/>
          <w:kern w:val="0"/>
          <w14:ligatures w14:val="none"/>
        </w:rPr>
        <w:t>RN and RAD performed the literature review, secured funding for the study, d</w:t>
      </w:r>
      <w:r>
        <w:rPr>
          <w:rFonts w:ascii="Arial" w:hAnsi="Arial" w:cs="Arial"/>
          <w:bCs/>
          <w:color w:val="000000"/>
        </w:rPr>
        <w:t>esigned</w:t>
      </w:r>
      <w:r w:rsidR="009141C7">
        <w:rPr>
          <w:rFonts w:ascii="Arial" w:hAnsi="Arial" w:cs="Arial"/>
          <w:bCs/>
          <w:color w:val="000000"/>
        </w:rPr>
        <w:t xml:space="preserve"> the </w:t>
      </w:r>
      <w:r>
        <w:rPr>
          <w:rFonts w:ascii="Arial" w:hAnsi="Arial" w:cs="Arial"/>
          <w:bCs/>
          <w:color w:val="000000"/>
        </w:rPr>
        <w:t xml:space="preserve">study and drafted the manuscript. KC helped to draft the manuscript.  RP, SW, MS, WPW, SJ, MD and CG </w:t>
      </w:r>
      <w:r w:rsidR="00EB1F29">
        <w:rPr>
          <w:rFonts w:ascii="Arial" w:eastAsia="Times New Roman" w:hAnsi="Arial" w:cs="Arial"/>
          <w:iCs/>
          <w:kern w:val="0"/>
          <w14:ligatures w14:val="none"/>
        </w:rPr>
        <w:t>secured funding for the study,</w:t>
      </w:r>
      <w:r w:rsidR="00EB1F29">
        <w:rPr>
          <w:rFonts w:ascii="Arial" w:hAnsi="Arial" w:cs="Arial"/>
          <w:bCs/>
          <w:color w:val="000000"/>
        </w:rPr>
        <w:t xml:space="preserve"> </w:t>
      </w:r>
      <w:r>
        <w:rPr>
          <w:rFonts w:ascii="Arial" w:hAnsi="Arial" w:cs="Arial"/>
          <w:bCs/>
          <w:color w:val="000000"/>
        </w:rPr>
        <w:t xml:space="preserve">supported the design of the trial.  </w:t>
      </w:r>
      <w:r w:rsidRPr="004459AD">
        <w:rPr>
          <w:rFonts w:ascii="Arial" w:hAnsi="Arial" w:cs="Arial"/>
          <w:bCs/>
          <w:color w:val="000000"/>
        </w:rPr>
        <w:t xml:space="preserve">All authors </w:t>
      </w:r>
      <w:r>
        <w:rPr>
          <w:rFonts w:ascii="Arial" w:hAnsi="Arial" w:cs="Arial"/>
          <w:bCs/>
          <w:color w:val="000000"/>
        </w:rPr>
        <w:t>edit</w:t>
      </w:r>
      <w:r w:rsidR="00EB1F29">
        <w:rPr>
          <w:rFonts w:ascii="Arial" w:hAnsi="Arial" w:cs="Arial"/>
          <w:bCs/>
          <w:color w:val="000000"/>
        </w:rPr>
        <w:t>ed</w:t>
      </w:r>
      <w:r>
        <w:rPr>
          <w:rFonts w:ascii="Arial" w:hAnsi="Arial" w:cs="Arial"/>
          <w:bCs/>
          <w:color w:val="000000"/>
        </w:rPr>
        <w:t xml:space="preserve"> the</w:t>
      </w:r>
      <w:r w:rsidR="00EB1F29">
        <w:rPr>
          <w:rFonts w:ascii="Arial" w:hAnsi="Arial" w:cs="Arial"/>
          <w:bCs/>
          <w:color w:val="000000"/>
        </w:rPr>
        <w:t xml:space="preserve"> draft manuscript and approve </w:t>
      </w:r>
      <w:r w:rsidRPr="004459AD">
        <w:rPr>
          <w:rFonts w:ascii="Arial" w:hAnsi="Arial" w:cs="Arial"/>
          <w:bCs/>
          <w:color w:val="000000"/>
        </w:rPr>
        <w:t>the final manuscript.</w:t>
      </w:r>
    </w:p>
    <w:p w14:paraId="121AB391" w14:textId="77777777" w:rsidR="009141C7" w:rsidRDefault="009141C7" w:rsidP="009141C7">
      <w:pPr>
        <w:spacing w:after="0" w:line="480" w:lineRule="auto"/>
        <w:jc w:val="both"/>
        <w:rPr>
          <w:rFonts w:ascii="Arial" w:hAnsi="Arial" w:cs="Arial"/>
          <w:bCs/>
          <w:color w:val="000000"/>
        </w:rPr>
      </w:pPr>
    </w:p>
    <w:p w14:paraId="2567832A" w14:textId="64F86CDE" w:rsidR="009141C7" w:rsidRPr="00F970CD" w:rsidRDefault="009141C7" w:rsidP="009141C7">
      <w:pPr>
        <w:spacing w:after="0" w:line="480" w:lineRule="auto"/>
        <w:jc w:val="both"/>
        <w:rPr>
          <w:rFonts w:ascii="Arial" w:eastAsia="Times New Roman" w:hAnsi="Arial" w:cs="Arial"/>
          <w:iCs/>
          <w:kern w:val="0"/>
          <w14:ligatures w14:val="none"/>
        </w:rPr>
      </w:pPr>
      <w:r>
        <w:rPr>
          <w:rFonts w:ascii="Arial" w:hAnsi="Arial" w:cs="Arial"/>
          <w:bCs/>
          <w:color w:val="000000"/>
        </w:rPr>
        <w:t>vii. Acknowledgements</w:t>
      </w:r>
    </w:p>
    <w:p w14:paraId="66E0CD41" w14:textId="6F776F1A" w:rsidR="00F46D64" w:rsidRPr="009141C7" w:rsidRDefault="009141C7">
      <w:pPr>
        <w:rPr>
          <w:rFonts w:ascii="Arial" w:hAnsi="Arial" w:cs="Arial"/>
          <w:kern w:val="0"/>
          <w14:ligatures w14:val="none"/>
        </w:rPr>
      </w:pPr>
      <w:r w:rsidRPr="009141C7">
        <w:rPr>
          <w:rFonts w:ascii="Arial" w:hAnsi="Arial" w:cs="Arial"/>
          <w:kern w:val="0"/>
          <w14:ligatures w14:val="none"/>
        </w:rPr>
        <w:t>Not applicable</w:t>
      </w:r>
    </w:p>
    <w:p w14:paraId="644DA75E" w14:textId="77777777" w:rsidR="009141C7" w:rsidRDefault="009141C7">
      <w:pPr>
        <w:rPr>
          <w:rFonts w:ascii="Arial" w:hAnsi="Arial" w:cs="Arial"/>
          <w:kern w:val="0"/>
          <w:sz w:val="28"/>
          <w:szCs w:val="28"/>
          <w14:ligatures w14:val="none"/>
        </w:rPr>
      </w:pPr>
      <w:r>
        <w:rPr>
          <w:rFonts w:ascii="Arial" w:hAnsi="Arial" w:cs="Arial"/>
          <w:kern w:val="0"/>
          <w:sz w:val="28"/>
          <w:szCs w:val="28"/>
          <w14:ligatures w14:val="none"/>
        </w:rPr>
        <w:br w:type="page"/>
      </w:r>
    </w:p>
    <w:p w14:paraId="3915AC53" w14:textId="7BB18524" w:rsidR="00C14E38" w:rsidRPr="00F970CD" w:rsidRDefault="00C14E38" w:rsidP="00C14E38">
      <w:pPr>
        <w:spacing w:after="0" w:line="480" w:lineRule="auto"/>
        <w:jc w:val="both"/>
        <w:rPr>
          <w:rFonts w:ascii="Arial" w:hAnsi="Arial" w:cs="Arial"/>
          <w:kern w:val="0"/>
          <w:sz w:val="28"/>
          <w:szCs w:val="28"/>
          <w14:ligatures w14:val="none"/>
        </w:rPr>
      </w:pPr>
      <w:r w:rsidRPr="00F970CD">
        <w:rPr>
          <w:rFonts w:ascii="Arial" w:hAnsi="Arial" w:cs="Arial"/>
          <w:kern w:val="0"/>
          <w:sz w:val="28"/>
          <w:szCs w:val="28"/>
          <w14:ligatures w14:val="none"/>
        </w:rPr>
        <w:lastRenderedPageBreak/>
        <w:t>References</w:t>
      </w:r>
    </w:p>
    <w:p w14:paraId="61F6BE07" w14:textId="77777777" w:rsidR="00C14E38" w:rsidRPr="00C14E38" w:rsidRDefault="00C14E38" w:rsidP="00C14E38">
      <w:pPr>
        <w:pStyle w:val="Bibliography"/>
        <w:rPr>
          <w:rFonts w:ascii="Arial" w:hAnsi="Arial" w:cs="Arial"/>
        </w:rPr>
      </w:pPr>
      <w:r w:rsidRPr="00F970CD">
        <w:rPr>
          <w:rFonts w:ascii="Arial" w:eastAsia="Times New Roman" w:hAnsi="Arial" w:cs="Arial"/>
          <w:iCs/>
          <w14:ligatures w14:val="none"/>
        </w:rPr>
        <w:fldChar w:fldCharType="begin"/>
      </w:r>
      <w:r w:rsidRPr="00F970CD">
        <w:rPr>
          <w:rFonts w:ascii="Arial" w:eastAsia="Times New Roman" w:hAnsi="Arial" w:cs="Arial"/>
          <w:iCs/>
          <w14:ligatures w14:val="none"/>
        </w:rPr>
        <w:instrText xml:space="preserve"> ADDIN ZOTERO_BIBL {"uncited":[],"omitted":[],"custom":[]} CSL_BIBLIOGRAPHY </w:instrText>
      </w:r>
      <w:r w:rsidRPr="00F970CD">
        <w:rPr>
          <w:rFonts w:ascii="Arial" w:eastAsia="Times New Roman" w:hAnsi="Arial" w:cs="Arial"/>
          <w:iCs/>
          <w14:ligatures w14:val="none"/>
        </w:rPr>
        <w:fldChar w:fldCharType="separate"/>
      </w:r>
      <w:r w:rsidRPr="00C14E38">
        <w:rPr>
          <w:rFonts w:ascii="Arial" w:hAnsi="Arial" w:cs="Arial"/>
        </w:rPr>
        <w:t>1.</w:t>
      </w:r>
      <w:r w:rsidRPr="00C14E38">
        <w:rPr>
          <w:rFonts w:ascii="Arial" w:hAnsi="Arial" w:cs="Arial"/>
        </w:rPr>
        <w:tab/>
        <w:t xml:space="preserve">Rothblum-Oviatt C, Wright J, Lefton-Greif MA, McGrath-Morrow SA, Crawford TO, Lederman HM. Ataxia telangiectasia: a review. </w:t>
      </w:r>
      <w:r w:rsidRPr="00C14E38">
        <w:rPr>
          <w:rFonts w:ascii="Arial" w:hAnsi="Arial" w:cs="Arial"/>
          <w:i/>
          <w:iCs/>
        </w:rPr>
        <w:t>Orphanet J Rare Dis</w:t>
      </w:r>
      <w:r w:rsidRPr="00C14E38">
        <w:rPr>
          <w:rFonts w:ascii="Arial" w:hAnsi="Arial" w:cs="Arial"/>
        </w:rPr>
        <w:t>. 2016;11. doi:10.1186/s13023-016-0543-7</w:t>
      </w:r>
    </w:p>
    <w:p w14:paraId="51E50931" w14:textId="0E60D6EE" w:rsidR="00C14E38" w:rsidRPr="00C14E38" w:rsidRDefault="00C14E38" w:rsidP="00C14E38">
      <w:pPr>
        <w:pStyle w:val="Bibliography"/>
        <w:rPr>
          <w:rFonts w:ascii="Arial" w:hAnsi="Arial" w:cs="Arial"/>
        </w:rPr>
      </w:pPr>
      <w:r w:rsidRPr="00C14E38">
        <w:rPr>
          <w:rFonts w:ascii="Arial" w:hAnsi="Arial" w:cs="Arial"/>
        </w:rPr>
        <w:t>2.</w:t>
      </w:r>
      <w:r w:rsidRPr="00C14E38">
        <w:rPr>
          <w:rFonts w:ascii="Arial" w:hAnsi="Arial" w:cs="Arial"/>
        </w:rPr>
        <w:tab/>
      </w:r>
      <w:r>
        <w:rPr>
          <w:rFonts w:ascii="Arial" w:hAnsi="Arial" w:cs="Arial"/>
        </w:rPr>
        <w:t>Dineen RA, Whitehouse WP. Ataxia Telangiectasia. In: Groul DL, Koibuchi N, Manto M, Molinari M, Schmahmann JD, Shen Y (Eds)</w:t>
      </w:r>
      <w:r w:rsidRPr="00C14E38">
        <w:rPr>
          <w:rFonts w:ascii="Arial" w:hAnsi="Arial" w:cs="Arial"/>
        </w:rPr>
        <w:t>. Essentials of Cerebellum and Cerebellar Disorders</w:t>
      </w:r>
      <w:r>
        <w:rPr>
          <w:rFonts w:ascii="Arial" w:hAnsi="Arial" w:cs="Arial"/>
        </w:rPr>
        <w:t>: Aprimer for Graduate Students</w:t>
      </w:r>
      <w:r w:rsidR="00FE0296">
        <w:rPr>
          <w:rFonts w:ascii="Arial" w:hAnsi="Arial" w:cs="Arial"/>
        </w:rPr>
        <w:t xml:space="preserve"> (2</w:t>
      </w:r>
      <w:r w:rsidR="00FE0296" w:rsidRPr="00FE0296">
        <w:rPr>
          <w:rFonts w:ascii="Arial" w:hAnsi="Arial" w:cs="Arial"/>
          <w:vertAlign w:val="superscript"/>
        </w:rPr>
        <w:t>nd</w:t>
      </w:r>
      <w:r w:rsidR="00FE0296">
        <w:rPr>
          <w:rFonts w:ascii="Arial" w:hAnsi="Arial" w:cs="Arial"/>
        </w:rPr>
        <w:t xml:space="preserve"> edition)</w:t>
      </w:r>
      <w:r w:rsidRPr="00C14E38">
        <w:rPr>
          <w:rFonts w:ascii="Arial" w:hAnsi="Arial" w:cs="Arial"/>
        </w:rPr>
        <w:t xml:space="preserve"> </w:t>
      </w:r>
      <w:r w:rsidRPr="00C14E38">
        <w:rPr>
          <w:rFonts w:ascii="Arial" w:hAnsi="Arial" w:cs="Arial"/>
          <w:i/>
          <w:iCs/>
        </w:rPr>
        <w:t>Essent Cerebellum Cerebellar Disord</w:t>
      </w:r>
      <w:r w:rsidRPr="00C14E38">
        <w:rPr>
          <w:rFonts w:ascii="Arial" w:hAnsi="Arial" w:cs="Arial"/>
        </w:rPr>
        <w:t xml:space="preserve">. </w:t>
      </w:r>
      <w:r w:rsidR="00FE0296">
        <w:rPr>
          <w:rFonts w:ascii="Arial" w:hAnsi="Arial" w:cs="Arial"/>
        </w:rPr>
        <w:t xml:space="preserve">Springer; 2022. </w:t>
      </w:r>
      <w:r w:rsidRPr="00C14E38">
        <w:rPr>
          <w:rFonts w:ascii="Arial" w:hAnsi="Arial" w:cs="Arial"/>
        </w:rPr>
        <w:t>Accessed July 13, 2023. https://www.academia.edu/43774280/Essentials_of_Cerebellum_and_Cerebellar_Disorders</w:t>
      </w:r>
    </w:p>
    <w:p w14:paraId="5A9E7B82" w14:textId="77777777" w:rsidR="00C14E38" w:rsidRPr="00C14E38" w:rsidRDefault="00C14E38" w:rsidP="00C14E38">
      <w:pPr>
        <w:pStyle w:val="Bibliography"/>
        <w:rPr>
          <w:rFonts w:ascii="Arial" w:hAnsi="Arial" w:cs="Arial"/>
        </w:rPr>
      </w:pPr>
      <w:r w:rsidRPr="00C14E38">
        <w:rPr>
          <w:rFonts w:ascii="Arial" w:hAnsi="Arial" w:cs="Arial"/>
          <w:lang w:val="pt-PT"/>
        </w:rPr>
        <w:t>3.</w:t>
      </w:r>
      <w:r w:rsidRPr="00C14E38">
        <w:rPr>
          <w:rFonts w:ascii="Arial" w:hAnsi="Arial" w:cs="Arial"/>
          <w:lang w:val="pt-PT"/>
        </w:rPr>
        <w:tab/>
        <w:t xml:space="preserve">Gatti R, Perlman S. Ataxia-Telangiectasia. </w:t>
      </w:r>
      <w:r w:rsidRPr="00C14E38">
        <w:rPr>
          <w:rFonts w:ascii="Arial" w:hAnsi="Arial" w:cs="Arial"/>
        </w:rPr>
        <w:t xml:space="preserve">In: Adam MP, Ardinger HH, Pagon RA, et al., eds. </w:t>
      </w:r>
      <w:r w:rsidRPr="00C14E38">
        <w:rPr>
          <w:rFonts w:ascii="Arial" w:hAnsi="Arial" w:cs="Arial"/>
          <w:i/>
          <w:iCs/>
        </w:rPr>
        <w:t>GeneReviews®</w:t>
      </w:r>
      <w:r w:rsidRPr="00C14E38">
        <w:rPr>
          <w:rFonts w:ascii="Arial" w:hAnsi="Arial" w:cs="Arial"/>
        </w:rPr>
        <w:t>. University of Washington, Seattle; 1993. Accessed April 8, 2022. http://www.ncbi.nlm.nih.gov/books/NBK26468/</w:t>
      </w:r>
    </w:p>
    <w:p w14:paraId="0CF51AD9" w14:textId="77777777" w:rsidR="00C14E38" w:rsidRPr="00C14E38" w:rsidRDefault="00C14E38" w:rsidP="00C14E38">
      <w:pPr>
        <w:pStyle w:val="Bibliography"/>
        <w:rPr>
          <w:rFonts w:ascii="Arial" w:hAnsi="Arial" w:cs="Arial"/>
        </w:rPr>
      </w:pPr>
      <w:r w:rsidRPr="00C14E38">
        <w:rPr>
          <w:rFonts w:ascii="Arial" w:hAnsi="Arial" w:cs="Arial"/>
        </w:rPr>
        <w:t>4.</w:t>
      </w:r>
      <w:r w:rsidRPr="00C14E38">
        <w:rPr>
          <w:rFonts w:ascii="Arial" w:hAnsi="Arial" w:cs="Arial"/>
        </w:rPr>
        <w:tab/>
        <w:t xml:space="preserve">Amirifar P, Ranjouri MR, Lavin M, Abolhassani H, Yazdani R, Aghamohammadi A. Ataxia-telangiectasia: epidemiology, pathogenesis, clinical phenotype, diagnosis, prognosis and management. </w:t>
      </w:r>
      <w:r w:rsidRPr="00C14E38">
        <w:rPr>
          <w:rFonts w:ascii="Arial" w:hAnsi="Arial" w:cs="Arial"/>
          <w:i/>
          <w:iCs/>
        </w:rPr>
        <w:t>Expert Rev Clin Immunol</w:t>
      </w:r>
      <w:r w:rsidRPr="00C14E38">
        <w:rPr>
          <w:rFonts w:ascii="Arial" w:hAnsi="Arial" w:cs="Arial"/>
        </w:rPr>
        <w:t>. Published online October 15, 2020:1-13. doi:10.1080/1744666X.2020.1810570</w:t>
      </w:r>
    </w:p>
    <w:p w14:paraId="3213AA89" w14:textId="77777777" w:rsidR="00C14E38" w:rsidRPr="00C14E38" w:rsidRDefault="00C14E38" w:rsidP="00C14E38">
      <w:pPr>
        <w:pStyle w:val="Bibliography"/>
        <w:rPr>
          <w:rFonts w:ascii="Arial" w:hAnsi="Arial" w:cs="Arial"/>
        </w:rPr>
      </w:pPr>
      <w:r w:rsidRPr="00C14E38">
        <w:rPr>
          <w:rFonts w:ascii="Arial" w:hAnsi="Arial" w:cs="Arial"/>
        </w:rPr>
        <w:t>5.</w:t>
      </w:r>
      <w:r w:rsidRPr="00C14E38">
        <w:rPr>
          <w:rFonts w:ascii="Arial" w:hAnsi="Arial" w:cs="Arial"/>
        </w:rPr>
        <w:tab/>
        <w:t xml:space="preserve">Walsh MF, Chang VY, Kohlmann WK, et al. Recommendations for Childhood Cancer Screening and Surveillance in DNA Repair Disorders. </w:t>
      </w:r>
      <w:r w:rsidRPr="00C14E38">
        <w:rPr>
          <w:rFonts w:ascii="Arial" w:hAnsi="Arial" w:cs="Arial"/>
          <w:i/>
          <w:iCs/>
        </w:rPr>
        <w:t>Clin Cancer Res Off J Am Assoc Cancer Res</w:t>
      </w:r>
      <w:r w:rsidRPr="00C14E38">
        <w:rPr>
          <w:rFonts w:ascii="Arial" w:hAnsi="Arial" w:cs="Arial"/>
        </w:rPr>
        <w:t>. 2017;23(11):e23-e31. doi:10.1158/1078-0432.CCR-17-0465</w:t>
      </w:r>
    </w:p>
    <w:p w14:paraId="378209FC" w14:textId="77777777" w:rsidR="00C14E38" w:rsidRPr="00C14E38" w:rsidRDefault="00C14E38" w:rsidP="00C14E38">
      <w:pPr>
        <w:pStyle w:val="Bibliography"/>
        <w:rPr>
          <w:rFonts w:ascii="Arial" w:hAnsi="Arial" w:cs="Arial"/>
        </w:rPr>
      </w:pPr>
      <w:r w:rsidRPr="00C14E38">
        <w:rPr>
          <w:rFonts w:ascii="Arial" w:hAnsi="Arial" w:cs="Arial"/>
        </w:rPr>
        <w:t>6.</w:t>
      </w:r>
      <w:r w:rsidRPr="00C14E38">
        <w:rPr>
          <w:rFonts w:ascii="Arial" w:hAnsi="Arial" w:cs="Arial"/>
        </w:rPr>
        <w:tab/>
        <w:t xml:space="preserve">The Ataxia Telangiectasia Society. </w:t>
      </w:r>
      <w:r w:rsidRPr="00C14E38">
        <w:rPr>
          <w:rFonts w:ascii="Arial" w:hAnsi="Arial" w:cs="Arial"/>
          <w:i/>
          <w:iCs/>
        </w:rPr>
        <w:t>Ataxia-Telangiectasia in Children: Guidance on Diagnosis and Clinical Care.</w:t>
      </w:r>
      <w:r w:rsidRPr="00C14E38">
        <w:rPr>
          <w:rFonts w:ascii="Arial" w:hAnsi="Arial" w:cs="Arial"/>
        </w:rPr>
        <w:t xml:space="preserve"> 1st ed.; 2014.</w:t>
      </w:r>
    </w:p>
    <w:p w14:paraId="12C5D594" w14:textId="77777777" w:rsidR="00C14E38" w:rsidRPr="00C14E38" w:rsidRDefault="00C14E38" w:rsidP="00C14E38">
      <w:pPr>
        <w:pStyle w:val="Bibliography"/>
        <w:rPr>
          <w:rFonts w:ascii="Arial" w:hAnsi="Arial" w:cs="Arial"/>
        </w:rPr>
      </w:pPr>
      <w:r w:rsidRPr="00C14E38">
        <w:rPr>
          <w:rFonts w:ascii="Arial" w:hAnsi="Arial" w:cs="Arial"/>
        </w:rPr>
        <w:t>7.</w:t>
      </w:r>
      <w:r w:rsidRPr="00C14E38">
        <w:rPr>
          <w:rFonts w:ascii="Arial" w:hAnsi="Arial" w:cs="Arial"/>
        </w:rPr>
        <w:tab/>
        <w:t xml:space="preserve">Petley E, Yule A, Alexander S, Ojha S, Whitehouse WP. The natural history of ataxia-telangiectasia (A-T): A systematic review. </w:t>
      </w:r>
      <w:r w:rsidRPr="00C14E38">
        <w:rPr>
          <w:rFonts w:ascii="Arial" w:hAnsi="Arial" w:cs="Arial"/>
          <w:i/>
          <w:iCs/>
        </w:rPr>
        <w:t>PloS One</w:t>
      </w:r>
      <w:r w:rsidRPr="00C14E38">
        <w:rPr>
          <w:rFonts w:ascii="Arial" w:hAnsi="Arial" w:cs="Arial"/>
        </w:rPr>
        <w:t>. 2022;17(3):e0264177. doi:10.1371/journal.pone.0264177</w:t>
      </w:r>
    </w:p>
    <w:p w14:paraId="4A9F37C0" w14:textId="77777777" w:rsidR="00C14E38" w:rsidRPr="00C14E38" w:rsidRDefault="00C14E38" w:rsidP="00C14E38">
      <w:pPr>
        <w:pStyle w:val="Bibliography"/>
        <w:rPr>
          <w:rFonts w:ascii="Arial" w:hAnsi="Arial" w:cs="Arial"/>
          <w:lang w:val="pt-PT"/>
        </w:rPr>
      </w:pPr>
      <w:r w:rsidRPr="00C14E38">
        <w:rPr>
          <w:rFonts w:ascii="Arial" w:hAnsi="Arial" w:cs="Arial"/>
        </w:rPr>
        <w:t>8.</w:t>
      </w:r>
      <w:r w:rsidRPr="00C14E38">
        <w:rPr>
          <w:rFonts w:ascii="Arial" w:hAnsi="Arial" w:cs="Arial"/>
        </w:rPr>
        <w:tab/>
        <w:t xml:space="preserve">Reiman A, Srinivasan V, Barone G, et al. Lymphoid tumours and breast cancer in ataxia telangiectasia; substantial protective effect of residual ATM kinase activity against childhood tumours. </w:t>
      </w:r>
      <w:r w:rsidRPr="00C14E38">
        <w:rPr>
          <w:rFonts w:ascii="Arial" w:hAnsi="Arial" w:cs="Arial"/>
          <w:i/>
          <w:iCs/>
          <w:lang w:val="pt-PT"/>
        </w:rPr>
        <w:t>Br J Cancer</w:t>
      </w:r>
      <w:r w:rsidRPr="00C14E38">
        <w:rPr>
          <w:rFonts w:ascii="Arial" w:hAnsi="Arial" w:cs="Arial"/>
          <w:lang w:val="pt-PT"/>
        </w:rPr>
        <w:t>. 2011;105(4):586-591. doi:10.1038/bjc.2011.266</w:t>
      </w:r>
    </w:p>
    <w:p w14:paraId="592AA84D" w14:textId="77777777" w:rsidR="00C14E38" w:rsidRPr="00C14E38" w:rsidRDefault="00C14E38" w:rsidP="00C14E38">
      <w:pPr>
        <w:pStyle w:val="Bibliography"/>
        <w:rPr>
          <w:rFonts w:ascii="Arial" w:hAnsi="Arial" w:cs="Arial"/>
        </w:rPr>
      </w:pPr>
      <w:r w:rsidRPr="00C14E38">
        <w:rPr>
          <w:rFonts w:ascii="Arial" w:hAnsi="Arial" w:cs="Arial"/>
          <w:lang w:val="pt-PT"/>
        </w:rPr>
        <w:t>9.</w:t>
      </w:r>
      <w:r w:rsidRPr="00C14E38">
        <w:rPr>
          <w:rFonts w:ascii="Arial" w:hAnsi="Arial" w:cs="Arial"/>
          <w:lang w:val="pt-PT"/>
        </w:rPr>
        <w:tab/>
        <w:t xml:space="preserve">Suarez F, Mahlaoui N, Canioni D, et al. </w:t>
      </w:r>
      <w:r w:rsidRPr="00C14E38">
        <w:rPr>
          <w:rFonts w:ascii="Arial" w:hAnsi="Arial" w:cs="Arial"/>
        </w:rPr>
        <w:t xml:space="preserve">Incidence, presentation, and prognosis of malignancies in ataxia-telangiectasia: a report from the French national registry of primary immune deficiencies. </w:t>
      </w:r>
      <w:r w:rsidRPr="00C14E38">
        <w:rPr>
          <w:rFonts w:ascii="Arial" w:hAnsi="Arial" w:cs="Arial"/>
          <w:i/>
          <w:iCs/>
        </w:rPr>
        <w:t>J Clin Oncol Off J Am Soc Clin Oncol</w:t>
      </w:r>
      <w:r w:rsidRPr="00C14E38">
        <w:rPr>
          <w:rFonts w:ascii="Arial" w:hAnsi="Arial" w:cs="Arial"/>
        </w:rPr>
        <w:t>. 2015;33(2):202-208. doi:10.1200/JCO.2014.56.5101</w:t>
      </w:r>
    </w:p>
    <w:p w14:paraId="54876CDC" w14:textId="77777777" w:rsidR="00C14E38" w:rsidRPr="00C14E38" w:rsidRDefault="00C14E38" w:rsidP="00C14E38">
      <w:pPr>
        <w:pStyle w:val="Bibliography"/>
        <w:rPr>
          <w:rFonts w:ascii="Arial" w:hAnsi="Arial" w:cs="Arial"/>
        </w:rPr>
      </w:pPr>
      <w:r w:rsidRPr="00C14E38">
        <w:rPr>
          <w:rFonts w:ascii="Arial" w:hAnsi="Arial" w:cs="Arial"/>
        </w:rPr>
        <w:t>10.</w:t>
      </w:r>
      <w:r w:rsidRPr="00C14E38">
        <w:rPr>
          <w:rFonts w:ascii="Arial" w:hAnsi="Arial" w:cs="Arial"/>
        </w:rPr>
        <w:tab/>
        <w:t xml:space="preserve">Brodeur GM, Nichols KE, Plon SE, Schiffman JD, Malkin D. Pediatric Cancer Predisposition and Surveillance: An Overview, and a Tribute to Alfred G. Knudson Jr. </w:t>
      </w:r>
      <w:r w:rsidRPr="00C14E38">
        <w:rPr>
          <w:rFonts w:ascii="Arial" w:hAnsi="Arial" w:cs="Arial"/>
          <w:i/>
          <w:iCs/>
        </w:rPr>
        <w:t>Clin Cancer Res Off J Am Assoc Cancer Res</w:t>
      </w:r>
      <w:r w:rsidRPr="00C14E38">
        <w:rPr>
          <w:rFonts w:ascii="Arial" w:hAnsi="Arial" w:cs="Arial"/>
        </w:rPr>
        <w:t>. 2017;23(11):e1-e5. doi:10.1158/1078-0432.CCR-17-0702</w:t>
      </w:r>
    </w:p>
    <w:p w14:paraId="6A681A6C" w14:textId="77777777" w:rsidR="00C14E38" w:rsidRPr="00C14E38" w:rsidRDefault="00C14E38" w:rsidP="00C14E38">
      <w:pPr>
        <w:pStyle w:val="Bibliography"/>
        <w:rPr>
          <w:rFonts w:ascii="Arial" w:hAnsi="Arial" w:cs="Arial"/>
        </w:rPr>
      </w:pPr>
      <w:r w:rsidRPr="00C14E38">
        <w:rPr>
          <w:rFonts w:ascii="Arial" w:hAnsi="Arial" w:cs="Arial"/>
        </w:rPr>
        <w:t>11.</w:t>
      </w:r>
      <w:r w:rsidRPr="00C14E38">
        <w:rPr>
          <w:rFonts w:ascii="Arial" w:hAnsi="Arial" w:cs="Arial"/>
        </w:rPr>
        <w:tab/>
        <w:t xml:space="preserve">Vijapura C, Saad Aldin E, Capizzano AA, Policeni B, Sato Y, Moritani T. Genetic Syndromes Associated with Central Nervous System Tumors. </w:t>
      </w:r>
      <w:r w:rsidRPr="00C14E38">
        <w:rPr>
          <w:rFonts w:ascii="Arial" w:hAnsi="Arial" w:cs="Arial"/>
          <w:i/>
          <w:iCs/>
        </w:rPr>
        <w:t>Radiogr Rev Publ Radiol Soc N Am Inc</w:t>
      </w:r>
      <w:r w:rsidRPr="00C14E38">
        <w:rPr>
          <w:rFonts w:ascii="Arial" w:hAnsi="Arial" w:cs="Arial"/>
        </w:rPr>
        <w:t>. 2017;37(1):258-280. doi:10.1148/rg.2017160057</w:t>
      </w:r>
    </w:p>
    <w:p w14:paraId="36CA8DA8" w14:textId="77777777" w:rsidR="00C14E38" w:rsidRPr="00C14E38" w:rsidRDefault="00C14E38" w:rsidP="00C14E38">
      <w:pPr>
        <w:pStyle w:val="Bibliography"/>
        <w:rPr>
          <w:rFonts w:ascii="Arial" w:hAnsi="Arial" w:cs="Arial"/>
        </w:rPr>
      </w:pPr>
      <w:r w:rsidRPr="00C14E38">
        <w:rPr>
          <w:rFonts w:ascii="Arial" w:hAnsi="Arial" w:cs="Arial"/>
          <w:lang w:val="pt-PT"/>
        </w:rPr>
        <w:t>12.</w:t>
      </w:r>
      <w:r w:rsidRPr="00C14E38">
        <w:rPr>
          <w:rFonts w:ascii="Arial" w:hAnsi="Arial" w:cs="Arial"/>
          <w:lang w:val="pt-PT"/>
        </w:rPr>
        <w:tab/>
        <w:t xml:space="preserve">Morone M, Bali MA, Tunariu N, et al. </w:t>
      </w:r>
      <w:r w:rsidRPr="00C14E38">
        <w:rPr>
          <w:rFonts w:ascii="Arial" w:hAnsi="Arial" w:cs="Arial"/>
        </w:rPr>
        <w:t xml:space="preserve">Whole-Body MRI: Current Applications in Oncology. </w:t>
      </w:r>
      <w:r w:rsidRPr="00C14E38">
        <w:rPr>
          <w:rFonts w:ascii="Arial" w:hAnsi="Arial" w:cs="Arial"/>
          <w:i/>
          <w:iCs/>
        </w:rPr>
        <w:t>AJR Am J Roentgenol</w:t>
      </w:r>
      <w:r w:rsidRPr="00C14E38">
        <w:rPr>
          <w:rFonts w:ascii="Arial" w:hAnsi="Arial" w:cs="Arial"/>
        </w:rPr>
        <w:t>. 2017;209(6):W336-W349. doi:10.2214/AJR.17.17984</w:t>
      </w:r>
    </w:p>
    <w:p w14:paraId="13A93981" w14:textId="77777777" w:rsidR="00C14E38" w:rsidRPr="00C14E38" w:rsidRDefault="00C14E38" w:rsidP="00C14E38">
      <w:pPr>
        <w:pStyle w:val="Bibliography"/>
        <w:rPr>
          <w:rFonts w:ascii="Arial" w:hAnsi="Arial" w:cs="Arial"/>
        </w:rPr>
      </w:pPr>
      <w:r w:rsidRPr="00C14E38">
        <w:rPr>
          <w:rFonts w:ascii="Arial" w:hAnsi="Arial" w:cs="Arial"/>
        </w:rPr>
        <w:lastRenderedPageBreak/>
        <w:t>13.</w:t>
      </w:r>
      <w:r w:rsidRPr="00C14E38">
        <w:rPr>
          <w:rFonts w:ascii="Arial" w:hAnsi="Arial" w:cs="Arial"/>
        </w:rPr>
        <w:tab/>
        <w:t xml:space="preserve">Anupindi SA, Bedoya MA, Lindell RB, et al. Diagnostic Performance of Whole-Body MRI as a Tool for Cancer Screening in Children With Genetic Cancer-Predisposing Conditions. </w:t>
      </w:r>
      <w:r w:rsidRPr="00C14E38">
        <w:rPr>
          <w:rFonts w:ascii="Arial" w:hAnsi="Arial" w:cs="Arial"/>
          <w:i/>
          <w:iCs/>
        </w:rPr>
        <w:t>AJR Am J Roentgenol</w:t>
      </w:r>
      <w:r w:rsidRPr="00C14E38">
        <w:rPr>
          <w:rFonts w:ascii="Arial" w:hAnsi="Arial" w:cs="Arial"/>
        </w:rPr>
        <w:t>. 2015;205(2):400-408. doi:10.2214/AJR.14.13663</w:t>
      </w:r>
    </w:p>
    <w:p w14:paraId="5E0FCAAD" w14:textId="77777777" w:rsidR="00C14E38" w:rsidRPr="00C14E38" w:rsidRDefault="00C14E38" w:rsidP="00C14E38">
      <w:pPr>
        <w:pStyle w:val="Bibliography"/>
        <w:rPr>
          <w:rFonts w:ascii="Arial" w:hAnsi="Arial" w:cs="Arial"/>
        </w:rPr>
      </w:pPr>
      <w:r w:rsidRPr="00C14E38">
        <w:rPr>
          <w:rFonts w:ascii="Arial" w:hAnsi="Arial" w:cs="Arial"/>
        </w:rPr>
        <w:t>14.</w:t>
      </w:r>
      <w:r w:rsidRPr="00C14E38">
        <w:rPr>
          <w:rFonts w:ascii="Arial" w:hAnsi="Arial" w:cs="Arial"/>
        </w:rPr>
        <w:tab/>
        <w:t xml:space="preserve">Saade-Lemus S, Degnan AJ, Acord MR, et al. Whole-body magnetic resonance imaging of pediatric cancer predisposition syndromes: special considerations, challenges and perspective. </w:t>
      </w:r>
      <w:r w:rsidRPr="00C14E38">
        <w:rPr>
          <w:rFonts w:ascii="Arial" w:hAnsi="Arial" w:cs="Arial"/>
          <w:i/>
          <w:iCs/>
        </w:rPr>
        <w:t>Pediatr Radiol</w:t>
      </w:r>
      <w:r w:rsidRPr="00C14E38">
        <w:rPr>
          <w:rFonts w:ascii="Arial" w:hAnsi="Arial" w:cs="Arial"/>
        </w:rPr>
        <w:t>. 2019;49(11):1506-1515. doi:10.1007/s00247-019-04431-3</w:t>
      </w:r>
    </w:p>
    <w:p w14:paraId="1EDF2D42" w14:textId="77777777" w:rsidR="00C14E38" w:rsidRPr="00C14E38" w:rsidRDefault="00C14E38" w:rsidP="00C14E38">
      <w:pPr>
        <w:pStyle w:val="Bibliography"/>
        <w:rPr>
          <w:rFonts w:ascii="Arial" w:hAnsi="Arial" w:cs="Arial"/>
        </w:rPr>
      </w:pPr>
      <w:r w:rsidRPr="00C14E38">
        <w:rPr>
          <w:rFonts w:ascii="Arial" w:hAnsi="Arial" w:cs="Arial"/>
        </w:rPr>
        <w:t>15.</w:t>
      </w:r>
      <w:r w:rsidRPr="00C14E38">
        <w:rPr>
          <w:rFonts w:ascii="Arial" w:hAnsi="Arial" w:cs="Arial"/>
        </w:rPr>
        <w:tab/>
        <w:t xml:space="preserve">Atkin KL, Ditchfield MR. The role of whole-body MRI in pediatric oncology. </w:t>
      </w:r>
      <w:r w:rsidRPr="00C14E38">
        <w:rPr>
          <w:rFonts w:ascii="Arial" w:hAnsi="Arial" w:cs="Arial"/>
          <w:i/>
          <w:iCs/>
        </w:rPr>
        <w:t>J Pediatr Hematol Oncol</w:t>
      </w:r>
      <w:r w:rsidRPr="00C14E38">
        <w:rPr>
          <w:rFonts w:ascii="Arial" w:hAnsi="Arial" w:cs="Arial"/>
        </w:rPr>
        <w:t>. 2014;36(5):342-352. doi:10.1097/MPH.0000000000000031</w:t>
      </w:r>
    </w:p>
    <w:p w14:paraId="72D811B8" w14:textId="77777777" w:rsidR="00C14E38" w:rsidRPr="00C14E38" w:rsidRDefault="00C14E38" w:rsidP="00C14E38">
      <w:pPr>
        <w:pStyle w:val="Bibliography"/>
        <w:rPr>
          <w:rFonts w:ascii="Arial" w:hAnsi="Arial" w:cs="Arial"/>
        </w:rPr>
      </w:pPr>
      <w:r w:rsidRPr="00C14E38">
        <w:rPr>
          <w:rFonts w:ascii="Arial" w:hAnsi="Arial" w:cs="Arial"/>
        </w:rPr>
        <w:t>16.</w:t>
      </w:r>
      <w:r w:rsidRPr="00C14E38">
        <w:rPr>
          <w:rFonts w:ascii="Arial" w:hAnsi="Arial" w:cs="Arial"/>
        </w:rPr>
        <w:tab/>
        <w:t xml:space="preserve">Kaut C, Westbrook C. </w:t>
      </w:r>
      <w:r w:rsidRPr="00C14E38">
        <w:rPr>
          <w:rFonts w:ascii="Arial" w:hAnsi="Arial" w:cs="Arial"/>
          <w:i/>
          <w:iCs/>
        </w:rPr>
        <w:t>MRI in Practice</w:t>
      </w:r>
      <w:r w:rsidRPr="00C14E38">
        <w:rPr>
          <w:rFonts w:ascii="Arial" w:hAnsi="Arial" w:cs="Arial"/>
        </w:rPr>
        <w:t>. Oxford: Blackwell Science Ltd; 1993.</w:t>
      </w:r>
    </w:p>
    <w:p w14:paraId="662CAA64" w14:textId="77777777" w:rsidR="00C14E38" w:rsidRPr="00C14E38" w:rsidRDefault="00C14E38" w:rsidP="00C14E38">
      <w:pPr>
        <w:pStyle w:val="Bibliography"/>
        <w:rPr>
          <w:rFonts w:ascii="Arial" w:hAnsi="Arial" w:cs="Arial"/>
        </w:rPr>
      </w:pPr>
      <w:r w:rsidRPr="00C14E38">
        <w:rPr>
          <w:rFonts w:ascii="Arial" w:hAnsi="Arial" w:cs="Arial"/>
        </w:rPr>
        <w:t>17.</w:t>
      </w:r>
      <w:r w:rsidRPr="00C14E38">
        <w:rPr>
          <w:rFonts w:ascii="Arial" w:hAnsi="Arial" w:cs="Arial"/>
        </w:rPr>
        <w:tab/>
        <w:t xml:space="preserve">McRobbie DW. </w:t>
      </w:r>
      <w:r w:rsidRPr="00C14E38">
        <w:rPr>
          <w:rFonts w:ascii="Arial" w:hAnsi="Arial" w:cs="Arial"/>
          <w:i/>
          <w:iCs/>
        </w:rPr>
        <w:t>MRI from Picture to Proton</w:t>
      </w:r>
      <w:r w:rsidRPr="00C14E38">
        <w:rPr>
          <w:rFonts w:ascii="Arial" w:hAnsi="Arial" w:cs="Arial"/>
        </w:rPr>
        <w:t>. Cambridge University Press; 2006. Accessed January 21, 2022. https://doi.org/10.1017/CBO9780511545405</w:t>
      </w:r>
    </w:p>
    <w:p w14:paraId="5A91A38E" w14:textId="77777777" w:rsidR="00C14E38" w:rsidRPr="00C14E38" w:rsidRDefault="00C14E38" w:rsidP="00C14E38">
      <w:pPr>
        <w:pStyle w:val="Bibliography"/>
        <w:rPr>
          <w:rFonts w:ascii="Arial" w:hAnsi="Arial" w:cs="Arial"/>
        </w:rPr>
      </w:pPr>
      <w:r w:rsidRPr="00C14E38">
        <w:rPr>
          <w:rFonts w:ascii="Arial" w:hAnsi="Arial" w:cs="Arial"/>
        </w:rPr>
        <w:t>18.</w:t>
      </w:r>
      <w:r w:rsidRPr="00C14E38">
        <w:rPr>
          <w:rFonts w:ascii="Arial" w:hAnsi="Arial" w:cs="Arial"/>
        </w:rPr>
        <w:tab/>
        <w:t xml:space="preserve">Greer MLC, Voss SD, States LJ. Pediatric Cancer Predisposition Imaging: Focus on Whole-Body MRI. </w:t>
      </w:r>
      <w:r w:rsidRPr="00C14E38">
        <w:rPr>
          <w:rFonts w:ascii="Arial" w:hAnsi="Arial" w:cs="Arial"/>
          <w:i/>
          <w:iCs/>
        </w:rPr>
        <w:t>Clin Cancer Res Off J Am Assoc Cancer Res</w:t>
      </w:r>
      <w:r w:rsidRPr="00C14E38">
        <w:rPr>
          <w:rFonts w:ascii="Arial" w:hAnsi="Arial" w:cs="Arial"/>
        </w:rPr>
        <w:t>. 2017;23(11):e6-e13. doi:10.1158/1078-0432.CCR-17-0515</w:t>
      </w:r>
    </w:p>
    <w:p w14:paraId="203C67A3" w14:textId="77777777" w:rsidR="00C14E38" w:rsidRPr="00C14E38" w:rsidRDefault="00C14E38" w:rsidP="00C14E38">
      <w:pPr>
        <w:pStyle w:val="Bibliography"/>
        <w:rPr>
          <w:rFonts w:ascii="Arial" w:hAnsi="Arial" w:cs="Arial"/>
        </w:rPr>
      </w:pPr>
      <w:r w:rsidRPr="00C14E38">
        <w:rPr>
          <w:rFonts w:ascii="Arial" w:hAnsi="Arial" w:cs="Arial"/>
        </w:rPr>
        <w:t>19.</w:t>
      </w:r>
      <w:r w:rsidRPr="00C14E38">
        <w:rPr>
          <w:rFonts w:ascii="Arial" w:hAnsi="Arial" w:cs="Arial"/>
        </w:rPr>
        <w:tab/>
        <w:t xml:space="preserve">Gottumukkala RV, Gee MS, Hampilos PJ, Greer MLC. Current and Emerging Roles of Whole-Body MRI in Evaluation of Pediatric Cancer Patients. </w:t>
      </w:r>
      <w:r w:rsidRPr="00C14E38">
        <w:rPr>
          <w:rFonts w:ascii="Arial" w:hAnsi="Arial" w:cs="Arial"/>
          <w:i/>
          <w:iCs/>
        </w:rPr>
        <w:t>Radiogr Rev Publ Radiol Soc N Am Inc</w:t>
      </w:r>
      <w:r w:rsidRPr="00C14E38">
        <w:rPr>
          <w:rFonts w:ascii="Arial" w:hAnsi="Arial" w:cs="Arial"/>
        </w:rPr>
        <w:t>. 2019;39(2):516-534. doi:10.1148/rg.2019180130</w:t>
      </w:r>
    </w:p>
    <w:p w14:paraId="4860A504" w14:textId="77777777" w:rsidR="00C14E38" w:rsidRPr="00C14E38" w:rsidRDefault="00C14E38" w:rsidP="00C14E38">
      <w:pPr>
        <w:pStyle w:val="Bibliography"/>
        <w:rPr>
          <w:rFonts w:ascii="Arial" w:hAnsi="Arial" w:cs="Arial"/>
        </w:rPr>
      </w:pPr>
      <w:r w:rsidRPr="00C14E38">
        <w:rPr>
          <w:rFonts w:ascii="Arial" w:hAnsi="Arial" w:cs="Arial"/>
        </w:rPr>
        <w:t>20.</w:t>
      </w:r>
      <w:r w:rsidRPr="00C14E38">
        <w:rPr>
          <w:rFonts w:ascii="Arial" w:hAnsi="Arial" w:cs="Arial"/>
        </w:rPr>
        <w:tab/>
        <w:t xml:space="preserve">Grasparil AD, Gottumukkala RV, Greer MLC, Gee MS. Whole-Body MRI Surveillance of Cancer Predisposition Syndromes: Current Best Practice Guidelines for Use, Performance, and Interpretation. </w:t>
      </w:r>
      <w:r w:rsidRPr="00C14E38">
        <w:rPr>
          <w:rFonts w:ascii="Arial" w:hAnsi="Arial" w:cs="Arial"/>
          <w:i/>
          <w:iCs/>
        </w:rPr>
        <w:t>AJR Am J Roentgenol</w:t>
      </w:r>
      <w:r w:rsidRPr="00C14E38">
        <w:rPr>
          <w:rFonts w:ascii="Arial" w:hAnsi="Arial" w:cs="Arial"/>
        </w:rPr>
        <w:t>. 2020;215(4):1002-1011. doi:10.2214/AJR.19.22399</w:t>
      </w:r>
    </w:p>
    <w:p w14:paraId="3EA76B43" w14:textId="77777777" w:rsidR="00C14E38" w:rsidRPr="00C14E38" w:rsidRDefault="00C14E38" w:rsidP="00C14E38">
      <w:pPr>
        <w:pStyle w:val="Bibliography"/>
        <w:rPr>
          <w:rFonts w:ascii="Arial" w:hAnsi="Arial" w:cs="Arial"/>
        </w:rPr>
      </w:pPr>
      <w:r w:rsidRPr="00C14E38">
        <w:rPr>
          <w:rFonts w:ascii="Arial" w:hAnsi="Arial" w:cs="Arial"/>
        </w:rPr>
        <w:t>21.</w:t>
      </w:r>
      <w:r w:rsidRPr="00C14E38">
        <w:rPr>
          <w:rFonts w:ascii="Arial" w:hAnsi="Arial" w:cs="Arial"/>
        </w:rPr>
        <w:tab/>
        <w:t xml:space="preserve">Canale S, Vilcot L, Ammari S, et al. Whole body MRI in paediatric oncology. </w:t>
      </w:r>
      <w:r w:rsidRPr="00C14E38">
        <w:rPr>
          <w:rFonts w:ascii="Arial" w:hAnsi="Arial" w:cs="Arial"/>
          <w:i/>
          <w:iCs/>
        </w:rPr>
        <w:t>Diagn Interv Imaging</w:t>
      </w:r>
      <w:r w:rsidRPr="00C14E38">
        <w:rPr>
          <w:rFonts w:ascii="Arial" w:hAnsi="Arial" w:cs="Arial"/>
        </w:rPr>
        <w:t>. 2014;95(6):541-550. doi:10.1016/j.diii.2013.11.002</w:t>
      </w:r>
    </w:p>
    <w:p w14:paraId="37CAB6E4" w14:textId="77777777" w:rsidR="00C14E38" w:rsidRPr="00C14E38" w:rsidRDefault="00C14E38" w:rsidP="00C14E38">
      <w:pPr>
        <w:pStyle w:val="Bibliography"/>
        <w:rPr>
          <w:rFonts w:ascii="Arial" w:hAnsi="Arial" w:cs="Arial"/>
        </w:rPr>
      </w:pPr>
      <w:r w:rsidRPr="00C14E38">
        <w:rPr>
          <w:rFonts w:ascii="Arial" w:hAnsi="Arial" w:cs="Arial"/>
        </w:rPr>
        <w:t>22.</w:t>
      </w:r>
      <w:r w:rsidRPr="00C14E38">
        <w:rPr>
          <w:rFonts w:ascii="Arial" w:hAnsi="Arial" w:cs="Arial"/>
        </w:rPr>
        <w:tab/>
        <w:t xml:space="preserve">Winfield JM, Miah AB, Strauss D, et al. Utility of Multi-Parametric Quantitative Magnetic Resonance Imaging for Characterization and Radiotherapy Response Assessment in Soft-Tissue Sarcomas and Correlation With Histopathology. </w:t>
      </w:r>
      <w:r w:rsidRPr="00C14E38">
        <w:rPr>
          <w:rFonts w:ascii="Arial" w:hAnsi="Arial" w:cs="Arial"/>
          <w:i/>
          <w:iCs/>
        </w:rPr>
        <w:t>Front Oncol</w:t>
      </w:r>
      <w:r w:rsidRPr="00C14E38">
        <w:rPr>
          <w:rFonts w:ascii="Arial" w:hAnsi="Arial" w:cs="Arial"/>
        </w:rPr>
        <w:t>. 2019;9:280. doi:10.3389/fonc.2019.00280</w:t>
      </w:r>
    </w:p>
    <w:p w14:paraId="76D72297" w14:textId="77777777" w:rsidR="00C14E38" w:rsidRPr="00C14E38" w:rsidRDefault="00C14E38" w:rsidP="00C14E38">
      <w:pPr>
        <w:pStyle w:val="Bibliography"/>
        <w:rPr>
          <w:rFonts w:ascii="Arial" w:hAnsi="Arial" w:cs="Arial"/>
        </w:rPr>
      </w:pPr>
      <w:r w:rsidRPr="00C14E38">
        <w:rPr>
          <w:rFonts w:ascii="Arial" w:hAnsi="Arial" w:cs="Arial"/>
        </w:rPr>
        <w:t>23.</w:t>
      </w:r>
      <w:r w:rsidRPr="00C14E38">
        <w:rPr>
          <w:rFonts w:ascii="Arial" w:hAnsi="Arial" w:cs="Arial"/>
        </w:rPr>
        <w:tab/>
        <w:t xml:space="preserve">Messiou C, Kaiser M. Whole-Body Imaging in Multiple Myeloma. </w:t>
      </w:r>
      <w:r w:rsidRPr="00C14E38">
        <w:rPr>
          <w:rFonts w:ascii="Arial" w:hAnsi="Arial" w:cs="Arial"/>
          <w:i/>
          <w:iCs/>
        </w:rPr>
        <w:t>Magn Reson Imaging Clin N Am</w:t>
      </w:r>
      <w:r w:rsidRPr="00C14E38">
        <w:rPr>
          <w:rFonts w:ascii="Arial" w:hAnsi="Arial" w:cs="Arial"/>
        </w:rPr>
        <w:t>. 2018;26(4):509-525. doi:10.1016/j.mric.2018.06.006</w:t>
      </w:r>
    </w:p>
    <w:p w14:paraId="3656EBEC" w14:textId="43A1FC14" w:rsidR="00C14E38" w:rsidRPr="00C14E38" w:rsidRDefault="00C14E38" w:rsidP="00507618">
      <w:pPr>
        <w:pStyle w:val="Bibliography"/>
        <w:rPr>
          <w:rFonts w:ascii="Arial" w:hAnsi="Arial" w:cs="Arial"/>
        </w:rPr>
      </w:pPr>
      <w:r w:rsidRPr="00C14E38">
        <w:rPr>
          <w:rFonts w:ascii="Arial" w:hAnsi="Arial" w:cs="Arial"/>
        </w:rPr>
        <w:t>24.</w:t>
      </w:r>
      <w:r w:rsidRPr="00C14E38">
        <w:rPr>
          <w:rFonts w:ascii="Arial" w:hAnsi="Arial" w:cs="Arial"/>
        </w:rPr>
        <w:tab/>
      </w:r>
      <w:r w:rsidR="00507618" w:rsidRPr="00507618">
        <w:rPr>
          <w:rFonts w:ascii="Arial" w:hAnsi="Arial" w:cs="Arial"/>
        </w:rPr>
        <w:t>Villani A, Shore A, Wasserman JD, et al. Biochemical and imaging</w:t>
      </w:r>
      <w:r w:rsidR="00507618">
        <w:rPr>
          <w:rFonts w:ascii="Arial" w:hAnsi="Arial" w:cs="Arial"/>
        </w:rPr>
        <w:t xml:space="preserve"> </w:t>
      </w:r>
      <w:r w:rsidR="00507618" w:rsidRPr="00507618">
        <w:rPr>
          <w:rFonts w:ascii="Arial" w:hAnsi="Arial" w:cs="Arial"/>
        </w:rPr>
        <w:t>surveillance in germline TP53 mutation carriers with Li</w:t>
      </w:r>
      <w:r w:rsidR="00507618" w:rsidRPr="00507618">
        <w:rPr>
          <w:rFonts w:ascii="Arial" w:hAnsi="Arial" w:cs="Arial" w:hint="eastAsia"/>
        </w:rPr>
        <w:t>‐</w:t>
      </w:r>
      <w:r w:rsidR="00507618" w:rsidRPr="00507618">
        <w:rPr>
          <w:rFonts w:ascii="Arial" w:hAnsi="Arial" w:cs="Arial"/>
        </w:rPr>
        <w:t>Fraumeni</w:t>
      </w:r>
      <w:r w:rsidR="00507618">
        <w:rPr>
          <w:rFonts w:ascii="Arial" w:hAnsi="Arial" w:cs="Arial"/>
        </w:rPr>
        <w:t xml:space="preserve"> </w:t>
      </w:r>
      <w:r w:rsidR="00507618" w:rsidRPr="00507618">
        <w:rPr>
          <w:rFonts w:ascii="Arial" w:hAnsi="Arial" w:cs="Arial"/>
        </w:rPr>
        <w:t>syndrome: 1</w:t>
      </w:r>
      <w:r w:rsidR="00507618">
        <w:rPr>
          <w:rFonts w:ascii="Arial" w:hAnsi="Arial" w:cs="Arial"/>
        </w:rPr>
        <w:t>1</w:t>
      </w:r>
      <w:r w:rsidR="00507618" w:rsidRPr="00507618">
        <w:rPr>
          <w:rFonts w:ascii="Arial" w:hAnsi="Arial" w:cs="Arial"/>
        </w:rPr>
        <w:t xml:space="preserve"> year follow</w:t>
      </w:r>
      <w:r w:rsidR="00507618" w:rsidRPr="00507618">
        <w:rPr>
          <w:rFonts w:ascii="Arial" w:hAnsi="Arial" w:cs="Arial" w:hint="eastAsia"/>
        </w:rPr>
        <w:t>‐</w:t>
      </w:r>
      <w:r w:rsidR="00507618" w:rsidRPr="00507618">
        <w:rPr>
          <w:rFonts w:ascii="Arial" w:hAnsi="Arial" w:cs="Arial"/>
        </w:rPr>
        <w:t>up of a prospective observational study.</w:t>
      </w:r>
      <w:r w:rsidR="00507618">
        <w:rPr>
          <w:rFonts w:ascii="Arial" w:hAnsi="Arial" w:cs="Arial"/>
        </w:rPr>
        <w:t xml:space="preserve"> </w:t>
      </w:r>
      <w:r w:rsidR="00507618" w:rsidRPr="00507618">
        <w:rPr>
          <w:rFonts w:ascii="Arial" w:hAnsi="Arial" w:cs="Arial"/>
        </w:rPr>
        <w:t>Lancet Oncol. 2016;17:1295</w:t>
      </w:r>
      <w:r w:rsidR="00507618" w:rsidRPr="00507618">
        <w:rPr>
          <w:rFonts w:ascii="Arial" w:hAnsi="Arial" w:cs="Arial" w:hint="eastAsia"/>
        </w:rPr>
        <w:t>‐</w:t>
      </w:r>
      <w:r w:rsidR="00507618" w:rsidRPr="00507618">
        <w:rPr>
          <w:rFonts w:ascii="Arial" w:hAnsi="Arial" w:cs="Arial"/>
        </w:rPr>
        <w:t>1305. doi:10.1016/S1470-2045(16)30249-2</w:t>
      </w:r>
    </w:p>
    <w:p w14:paraId="3FA59A52" w14:textId="358B0313" w:rsidR="00C14E38" w:rsidRPr="00C14E38" w:rsidRDefault="00C14E38" w:rsidP="005E4160">
      <w:pPr>
        <w:pStyle w:val="Bibliography"/>
        <w:rPr>
          <w:rFonts w:ascii="Arial" w:hAnsi="Arial" w:cs="Arial"/>
        </w:rPr>
      </w:pPr>
      <w:r w:rsidRPr="00C14E38">
        <w:rPr>
          <w:rFonts w:ascii="Arial" w:hAnsi="Arial" w:cs="Arial"/>
        </w:rPr>
        <w:t>25.</w:t>
      </w:r>
      <w:r w:rsidRPr="00C14E38">
        <w:rPr>
          <w:rFonts w:ascii="Arial" w:hAnsi="Arial" w:cs="Arial"/>
        </w:rPr>
        <w:tab/>
      </w:r>
      <w:r w:rsidR="005E4160" w:rsidRPr="005E4160">
        <w:rPr>
          <w:rFonts w:ascii="Arial" w:hAnsi="Arial" w:cs="Arial"/>
        </w:rPr>
        <w:t>Villani A, Tabori U, Schiffma J, et al. Biochemical and imaging</w:t>
      </w:r>
      <w:r w:rsidR="005E4160">
        <w:rPr>
          <w:rFonts w:ascii="Arial" w:hAnsi="Arial" w:cs="Arial"/>
        </w:rPr>
        <w:t xml:space="preserve"> </w:t>
      </w:r>
      <w:r w:rsidR="005E4160" w:rsidRPr="005E4160">
        <w:rPr>
          <w:rFonts w:ascii="Arial" w:hAnsi="Arial" w:cs="Arial"/>
        </w:rPr>
        <w:t>surveillance in germline TP53 mutation carriers with Li</w:t>
      </w:r>
      <w:r w:rsidR="005E4160" w:rsidRPr="005E4160">
        <w:rPr>
          <w:rFonts w:ascii="Arial" w:hAnsi="Arial" w:cs="Arial" w:hint="eastAsia"/>
        </w:rPr>
        <w:t>‐</w:t>
      </w:r>
      <w:r w:rsidR="005E4160" w:rsidRPr="005E4160">
        <w:rPr>
          <w:rFonts w:ascii="Arial" w:hAnsi="Arial" w:cs="Arial"/>
        </w:rPr>
        <w:t>Fraumeni</w:t>
      </w:r>
      <w:r w:rsidR="005E4160">
        <w:rPr>
          <w:rFonts w:ascii="Arial" w:hAnsi="Arial" w:cs="Arial"/>
        </w:rPr>
        <w:t xml:space="preserve"> </w:t>
      </w:r>
      <w:r w:rsidR="005E4160" w:rsidRPr="005E4160">
        <w:rPr>
          <w:rFonts w:ascii="Arial" w:hAnsi="Arial" w:cs="Arial"/>
        </w:rPr>
        <w:t>syndrome: a prospective observational study. Lancet Oncol. 2011;12:559</w:t>
      </w:r>
      <w:r w:rsidR="005E4160" w:rsidRPr="005E4160">
        <w:rPr>
          <w:rFonts w:ascii="Arial" w:hAnsi="Arial" w:cs="Arial" w:hint="eastAsia"/>
        </w:rPr>
        <w:t>‐</w:t>
      </w:r>
      <w:r w:rsidR="005E4160" w:rsidRPr="005E4160">
        <w:rPr>
          <w:rFonts w:ascii="Arial" w:hAnsi="Arial" w:cs="Arial"/>
        </w:rPr>
        <w:t>567. doi:10.1016/S1470-2045(11)70119-X</w:t>
      </w:r>
    </w:p>
    <w:p w14:paraId="4F1E109B" w14:textId="77777777" w:rsidR="00C14E38" w:rsidRPr="00C14E38" w:rsidRDefault="00C14E38" w:rsidP="00C14E38">
      <w:pPr>
        <w:pStyle w:val="Bibliography"/>
        <w:rPr>
          <w:rFonts w:ascii="Arial" w:hAnsi="Arial" w:cs="Arial"/>
          <w:lang w:val="pt-PT"/>
        </w:rPr>
      </w:pPr>
      <w:r w:rsidRPr="00C14E38">
        <w:rPr>
          <w:rFonts w:ascii="Arial" w:hAnsi="Arial" w:cs="Arial"/>
        </w:rPr>
        <w:t>26.</w:t>
      </w:r>
      <w:r w:rsidRPr="00C14E38">
        <w:rPr>
          <w:rFonts w:ascii="Arial" w:hAnsi="Arial" w:cs="Arial"/>
        </w:rPr>
        <w:tab/>
        <w:t xml:space="preserve">Ballinger ML, Mitchell G, Thomas DM. Surveillance recommendations for patients with germline TP53 mutations. </w:t>
      </w:r>
      <w:r w:rsidRPr="00C14E38">
        <w:rPr>
          <w:rFonts w:ascii="Arial" w:hAnsi="Arial" w:cs="Arial"/>
          <w:i/>
          <w:iCs/>
          <w:lang w:val="pt-PT"/>
        </w:rPr>
        <w:t>Curr Opin Oncol</w:t>
      </w:r>
      <w:r w:rsidRPr="00C14E38">
        <w:rPr>
          <w:rFonts w:ascii="Arial" w:hAnsi="Arial" w:cs="Arial"/>
          <w:lang w:val="pt-PT"/>
        </w:rPr>
        <w:t>. 2015;27(4):332-337. doi:10.1097/CCO.0000000000000200</w:t>
      </w:r>
    </w:p>
    <w:p w14:paraId="4F6FFBD3" w14:textId="77777777" w:rsidR="00C14E38" w:rsidRPr="00C14E38" w:rsidRDefault="00C14E38" w:rsidP="00C14E38">
      <w:pPr>
        <w:pStyle w:val="Bibliography"/>
        <w:rPr>
          <w:rFonts w:ascii="Arial" w:hAnsi="Arial" w:cs="Arial"/>
        </w:rPr>
      </w:pPr>
      <w:r w:rsidRPr="00C14E38">
        <w:rPr>
          <w:rFonts w:ascii="Arial" w:hAnsi="Arial" w:cs="Arial"/>
          <w:lang w:val="pt-PT"/>
        </w:rPr>
        <w:lastRenderedPageBreak/>
        <w:t>27.</w:t>
      </w:r>
      <w:r w:rsidRPr="00C14E38">
        <w:rPr>
          <w:rFonts w:ascii="Arial" w:hAnsi="Arial" w:cs="Arial"/>
          <w:lang w:val="pt-PT"/>
        </w:rPr>
        <w:tab/>
        <w:t xml:space="preserve">Kratz CP, Achatz MI, Brugières L, et al. </w:t>
      </w:r>
      <w:r w:rsidRPr="00C14E38">
        <w:rPr>
          <w:rFonts w:ascii="Arial" w:hAnsi="Arial" w:cs="Arial"/>
        </w:rPr>
        <w:t xml:space="preserve">Cancer Screening Recommendations for Individuals with Li-Fraumeni Syndrome. </w:t>
      </w:r>
      <w:r w:rsidRPr="00C14E38">
        <w:rPr>
          <w:rFonts w:ascii="Arial" w:hAnsi="Arial" w:cs="Arial"/>
          <w:i/>
          <w:iCs/>
        </w:rPr>
        <w:t>Clin Cancer Res Off J Am Assoc Cancer Res</w:t>
      </w:r>
      <w:r w:rsidRPr="00C14E38">
        <w:rPr>
          <w:rFonts w:ascii="Arial" w:hAnsi="Arial" w:cs="Arial"/>
        </w:rPr>
        <w:t>. 2017;23(11):e38-e45. doi:10.1158/1078-0432.CCR-17-0408</w:t>
      </w:r>
    </w:p>
    <w:p w14:paraId="161CAE9D" w14:textId="77777777" w:rsidR="00C14E38" w:rsidRPr="00C14E38" w:rsidRDefault="00C14E38" w:rsidP="00C14E38">
      <w:pPr>
        <w:pStyle w:val="Bibliography"/>
        <w:rPr>
          <w:rFonts w:ascii="Arial" w:hAnsi="Arial" w:cs="Arial"/>
        </w:rPr>
      </w:pPr>
      <w:r w:rsidRPr="00C14E38">
        <w:rPr>
          <w:rFonts w:ascii="Arial" w:hAnsi="Arial" w:cs="Arial"/>
        </w:rPr>
        <w:t>28.</w:t>
      </w:r>
      <w:r w:rsidRPr="00C14E38">
        <w:rPr>
          <w:rFonts w:ascii="Arial" w:hAnsi="Arial" w:cs="Arial"/>
        </w:rPr>
        <w:tab/>
        <w:t xml:space="preserve">Rednam SP. Updates on progress in cancer screening for children with hereditary cancer predisposition syndromes. </w:t>
      </w:r>
      <w:r w:rsidRPr="00C14E38">
        <w:rPr>
          <w:rFonts w:ascii="Arial" w:hAnsi="Arial" w:cs="Arial"/>
          <w:i/>
          <w:iCs/>
        </w:rPr>
        <w:t>Curr Opin Pediatr</w:t>
      </w:r>
      <w:r w:rsidRPr="00C14E38">
        <w:rPr>
          <w:rFonts w:ascii="Arial" w:hAnsi="Arial" w:cs="Arial"/>
        </w:rPr>
        <w:t>. 2019;31(1):41-47. doi:10.1097/MOP.0000000000000709</w:t>
      </w:r>
    </w:p>
    <w:p w14:paraId="65637228" w14:textId="77777777" w:rsidR="00C14E38" w:rsidRPr="00C14E38" w:rsidRDefault="00C14E38" w:rsidP="00C14E38">
      <w:pPr>
        <w:pStyle w:val="Bibliography"/>
        <w:rPr>
          <w:rFonts w:ascii="Arial" w:hAnsi="Arial" w:cs="Arial"/>
        </w:rPr>
      </w:pPr>
      <w:r w:rsidRPr="00C14E38">
        <w:rPr>
          <w:rFonts w:ascii="Arial" w:hAnsi="Arial" w:cs="Arial"/>
        </w:rPr>
        <w:t>29.</w:t>
      </w:r>
      <w:r w:rsidRPr="00C14E38">
        <w:rPr>
          <w:rFonts w:ascii="Arial" w:hAnsi="Arial" w:cs="Arial"/>
        </w:rPr>
        <w:tab/>
        <w:t xml:space="preserve">Tabori U, Hansford JR, Achatz MI, et al. Clinical Management and Tumor Surveillance Recommendations of Inherited Mismatch Repair Deficiency in Childhood. </w:t>
      </w:r>
      <w:r w:rsidRPr="00C14E38">
        <w:rPr>
          <w:rFonts w:ascii="Arial" w:hAnsi="Arial" w:cs="Arial"/>
          <w:i/>
          <w:iCs/>
        </w:rPr>
        <w:t>Clin Cancer Res Off J Am Assoc Cancer Res</w:t>
      </w:r>
      <w:r w:rsidRPr="00C14E38">
        <w:rPr>
          <w:rFonts w:ascii="Arial" w:hAnsi="Arial" w:cs="Arial"/>
        </w:rPr>
        <w:t>. 2017;23(11):e32-e37. doi:10.1158/1078-0432.CCR-17-0574</w:t>
      </w:r>
    </w:p>
    <w:p w14:paraId="331F606B" w14:textId="77777777" w:rsidR="00C14E38" w:rsidRPr="00C14E38" w:rsidRDefault="00C14E38" w:rsidP="00C14E38">
      <w:pPr>
        <w:pStyle w:val="Bibliography"/>
        <w:rPr>
          <w:rFonts w:ascii="Arial" w:hAnsi="Arial" w:cs="Arial"/>
        </w:rPr>
      </w:pPr>
      <w:r w:rsidRPr="00C14E38">
        <w:rPr>
          <w:rFonts w:ascii="Arial" w:hAnsi="Arial" w:cs="Arial"/>
        </w:rPr>
        <w:t>30.</w:t>
      </w:r>
      <w:r w:rsidRPr="00C14E38">
        <w:rPr>
          <w:rFonts w:ascii="Arial" w:hAnsi="Arial" w:cs="Arial"/>
        </w:rPr>
        <w:tab/>
        <w:t xml:space="preserve">Bancroft EK, Saya S, Brown E, et al. Psychosocial effects of whole-body MRI screening in adult high-risk pathogenic TP53 mutation carriers: a case-controlled study (SIGNIFY). </w:t>
      </w:r>
      <w:r w:rsidRPr="00C14E38">
        <w:rPr>
          <w:rFonts w:ascii="Arial" w:hAnsi="Arial" w:cs="Arial"/>
          <w:i/>
          <w:iCs/>
        </w:rPr>
        <w:t>J Med Genet</w:t>
      </w:r>
      <w:r w:rsidRPr="00C14E38">
        <w:rPr>
          <w:rFonts w:ascii="Arial" w:hAnsi="Arial" w:cs="Arial"/>
        </w:rPr>
        <w:t>. 2020;57(4):226-236. doi:10.1136/jmedgenet-2019-106407</w:t>
      </w:r>
    </w:p>
    <w:p w14:paraId="55C2B453" w14:textId="77777777" w:rsidR="00C14E38" w:rsidRPr="00C14E38" w:rsidRDefault="00C14E38" w:rsidP="00C14E38">
      <w:pPr>
        <w:pStyle w:val="Bibliography"/>
        <w:rPr>
          <w:rFonts w:ascii="Arial" w:hAnsi="Arial" w:cs="Arial"/>
        </w:rPr>
      </w:pPr>
      <w:r w:rsidRPr="00C14E38">
        <w:rPr>
          <w:rFonts w:ascii="Arial" w:hAnsi="Arial" w:cs="Arial"/>
        </w:rPr>
        <w:t>31.</w:t>
      </w:r>
      <w:r w:rsidRPr="00C14E38">
        <w:rPr>
          <w:rFonts w:ascii="Arial" w:hAnsi="Arial" w:cs="Arial"/>
        </w:rPr>
        <w:tab/>
        <w:t xml:space="preserve">McBride KA, Ballinger ML, Schlub TE, et al. Psychosocial morbidity in TP53 mutation carriers: is whole-body cancer screening beneficial? </w:t>
      </w:r>
      <w:r w:rsidRPr="00C14E38">
        <w:rPr>
          <w:rFonts w:ascii="Arial" w:hAnsi="Arial" w:cs="Arial"/>
          <w:i/>
          <w:iCs/>
        </w:rPr>
        <w:t>Fam Cancer</w:t>
      </w:r>
      <w:r w:rsidRPr="00C14E38">
        <w:rPr>
          <w:rFonts w:ascii="Arial" w:hAnsi="Arial" w:cs="Arial"/>
        </w:rPr>
        <w:t>. 2017;16(3):423-432. doi:10.1007/s10689-016-9964-7</w:t>
      </w:r>
    </w:p>
    <w:p w14:paraId="298CAA9F" w14:textId="77777777" w:rsidR="00C14E38" w:rsidRPr="00C14E38" w:rsidRDefault="00C14E38" w:rsidP="00C14E38">
      <w:pPr>
        <w:pStyle w:val="Bibliography"/>
        <w:rPr>
          <w:rFonts w:ascii="Arial" w:hAnsi="Arial" w:cs="Arial"/>
        </w:rPr>
      </w:pPr>
      <w:r w:rsidRPr="00C14E38">
        <w:rPr>
          <w:rFonts w:ascii="Arial" w:hAnsi="Arial" w:cs="Arial"/>
        </w:rPr>
        <w:t>32.</w:t>
      </w:r>
      <w:r w:rsidRPr="00C14E38">
        <w:rPr>
          <w:rFonts w:ascii="Arial" w:hAnsi="Arial" w:cs="Arial"/>
        </w:rPr>
        <w:tab/>
        <w:t xml:space="preserve">van Engelen K, Barrera M, Wasserman JD, et al. Tumor surveillance for children and adolescents with cancer predisposition syndromes: The psychosocial impact reported by adolescents and caregivers. </w:t>
      </w:r>
      <w:r w:rsidRPr="00C14E38">
        <w:rPr>
          <w:rFonts w:ascii="Arial" w:hAnsi="Arial" w:cs="Arial"/>
          <w:i/>
          <w:iCs/>
        </w:rPr>
        <w:t>Pediatr Blood Cancer</w:t>
      </w:r>
      <w:r w:rsidRPr="00C14E38">
        <w:rPr>
          <w:rFonts w:ascii="Arial" w:hAnsi="Arial" w:cs="Arial"/>
        </w:rPr>
        <w:t>. 2021;68(8):e29021. doi:10.1002/pbc.29021</w:t>
      </w:r>
    </w:p>
    <w:p w14:paraId="147A60C5" w14:textId="77777777" w:rsidR="00C14E38" w:rsidRPr="00C14E38" w:rsidRDefault="00C14E38" w:rsidP="00C14E38">
      <w:pPr>
        <w:pStyle w:val="Bibliography"/>
        <w:rPr>
          <w:rFonts w:ascii="Arial" w:hAnsi="Arial" w:cs="Arial"/>
        </w:rPr>
      </w:pPr>
      <w:r w:rsidRPr="00C14E38">
        <w:rPr>
          <w:rFonts w:ascii="Arial" w:hAnsi="Arial" w:cs="Arial"/>
        </w:rPr>
        <w:t>33.</w:t>
      </w:r>
      <w:r w:rsidRPr="00C14E38">
        <w:rPr>
          <w:rFonts w:ascii="Arial" w:hAnsi="Arial" w:cs="Arial"/>
        </w:rPr>
        <w:tab/>
        <w:t xml:space="preserve">Omran M, Johansson H, Lundgren C, et al. Whole-body MRI surveillance in TP53 carriers is perceived as beneficial with no increase in cancer worry regardless of previous cancer: Data from the Swedish TP53 Study. </w:t>
      </w:r>
      <w:r w:rsidRPr="00C14E38">
        <w:rPr>
          <w:rFonts w:ascii="Arial" w:hAnsi="Arial" w:cs="Arial"/>
          <w:i/>
          <w:iCs/>
        </w:rPr>
        <w:t>Cancer</w:t>
      </w:r>
      <w:r w:rsidRPr="00C14E38">
        <w:rPr>
          <w:rFonts w:ascii="Arial" w:hAnsi="Arial" w:cs="Arial"/>
        </w:rPr>
        <w:t>. Published online January 5, 2023. doi:10.1002/cncr.34631</w:t>
      </w:r>
    </w:p>
    <w:p w14:paraId="35DF123A" w14:textId="77777777" w:rsidR="00C14E38" w:rsidRPr="00C14E38" w:rsidRDefault="00C14E38" w:rsidP="00C14E38">
      <w:pPr>
        <w:pStyle w:val="Bibliography"/>
        <w:rPr>
          <w:rFonts w:ascii="Arial" w:hAnsi="Arial" w:cs="Arial"/>
        </w:rPr>
      </w:pPr>
      <w:r w:rsidRPr="00C14E38">
        <w:rPr>
          <w:rFonts w:ascii="Arial" w:hAnsi="Arial" w:cs="Arial"/>
        </w:rPr>
        <w:t>34.</w:t>
      </w:r>
      <w:r w:rsidRPr="00C14E38">
        <w:rPr>
          <w:rFonts w:ascii="Arial" w:hAnsi="Arial" w:cs="Arial"/>
        </w:rPr>
        <w:tab/>
        <w:t xml:space="preserve">Dineen RA, Raschke F, McGlashan HL, et al. Multiparametric cerebellar imaging and clinical phenotype in childhood ataxia telangiectasia. </w:t>
      </w:r>
      <w:r w:rsidRPr="00C14E38">
        <w:rPr>
          <w:rFonts w:ascii="Arial" w:hAnsi="Arial" w:cs="Arial"/>
          <w:i/>
          <w:iCs/>
        </w:rPr>
        <w:t>NeuroImage Clin</w:t>
      </w:r>
      <w:r w:rsidRPr="00C14E38">
        <w:rPr>
          <w:rFonts w:ascii="Arial" w:hAnsi="Arial" w:cs="Arial"/>
        </w:rPr>
        <w:t>. 2019;25. doi:10.1016/j.nicl.2019.102110</w:t>
      </w:r>
    </w:p>
    <w:p w14:paraId="49CAF870" w14:textId="77777777" w:rsidR="00C14E38" w:rsidRPr="00C14E38" w:rsidRDefault="00C14E38" w:rsidP="00C14E38">
      <w:pPr>
        <w:pStyle w:val="Bibliography"/>
        <w:rPr>
          <w:rFonts w:ascii="Arial" w:hAnsi="Arial" w:cs="Arial"/>
        </w:rPr>
      </w:pPr>
      <w:r w:rsidRPr="00C14E38">
        <w:rPr>
          <w:rFonts w:ascii="Arial" w:hAnsi="Arial" w:cs="Arial"/>
        </w:rPr>
        <w:t>35.</w:t>
      </w:r>
      <w:r w:rsidRPr="00C14E38">
        <w:rPr>
          <w:rFonts w:ascii="Arial" w:hAnsi="Arial" w:cs="Arial"/>
        </w:rPr>
        <w:tab/>
        <w:t xml:space="preserve">Jończyk-Potoczna K, Potoczny J, Szczawińska-Popłonyk A. Imaging in children with ataxia-telangiectasia—The radiologist’s approach. </w:t>
      </w:r>
      <w:r w:rsidRPr="00C14E38">
        <w:rPr>
          <w:rFonts w:ascii="Arial" w:hAnsi="Arial" w:cs="Arial"/>
          <w:i/>
          <w:iCs/>
        </w:rPr>
        <w:t>Front Pediatr</w:t>
      </w:r>
      <w:r w:rsidRPr="00C14E38">
        <w:rPr>
          <w:rFonts w:ascii="Arial" w:hAnsi="Arial" w:cs="Arial"/>
        </w:rPr>
        <w:t>. 2022;10. Accessed September 19, 2022. https://www.frontiersin.org/articles/10.3389/fped.2022.988645</w:t>
      </w:r>
    </w:p>
    <w:p w14:paraId="0AA9B177" w14:textId="77777777" w:rsidR="00C14E38" w:rsidRPr="00C14E38" w:rsidRDefault="00C14E38" w:rsidP="00C14E38">
      <w:pPr>
        <w:pStyle w:val="Bibliography"/>
        <w:rPr>
          <w:rFonts w:ascii="Arial" w:hAnsi="Arial" w:cs="Arial"/>
        </w:rPr>
      </w:pPr>
      <w:r w:rsidRPr="00C14E38">
        <w:rPr>
          <w:rFonts w:ascii="Arial" w:hAnsi="Arial" w:cs="Arial"/>
          <w:lang w:val="pt-PT"/>
        </w:rPr>
        <w:t>36.</w:t>
      </w:r>
      <w:r w:rsidRPr="00C14E38">
        <w:rPr>
          <w:rFonts w:ascii="Arial" w:hAnsi="Arial" w:cs="Arial"/>
          <w:lang w:val="pt-PT"/>
        </w:rPr>
        <w:tab/>
        <w:t xml:space="preserve">Neves R, Perez B de D, Tindall T, et al. </w:t>
      </w:r>
      <w:r w:rsidRPr="00C14E38">
        <w:rPr>
          <w:rFonts w:ascii="Arial" w:hAnsi="Arial" w:cs="Arial"/>
        </w:rPr>
        <w:t xml:space="preserve">Whole-body MRI for cancer surveillance in ataxia-telangiectasia: A qualitative study of the perspectives of people affected by A-T and their families. </w:t>
      </w:r>
      <w:r w:rsidRPr="00C14E38">
        <w:rPr>
          <w:rFonts w:ascii="Arial" w:hAnsi="Arial" w:cs="Arial"/>
          <w:i/>
          <w:iCs/>
        </w:rPr>
        <w:t>Health Expect Int J Public Particip Health Care Health Policy</w:t>
      </w:r>
      <w:r w:rsidRPr="00C14E38">
        <w:rPr>
          <w:rFonts w:ascii="Arial" w:hAnsi="Arial" w:cs="Arial"/>
        </w:rPr>
        <w:t>. 2023;26(3):1358-1367. doi:10.1111/hex.13756</w:t>
      </w:r>
    </w:p>
    <w:p w14:paraId="2B09CE5D" w14:textId="77777777" w:rsidR="00C14E38" w:rsidRPr="00C14E38" w:rsidRDefault="00C14E38" w:rsidP="00C14E38">
      <w:pPr>
        <w:pStyle w:val="Bibliography"/>
        <w:rPr>
          <w:rFonts w:ascii="Arial" w:hAnsi="Arial" w:cs="Arial"/>
        </w:rPr>
      </w:pPr>
      <w:r w:rsidRPr="00C14E38">
        <w:rPr>
          <w:rFonts w:ascii="Arial" w:hAnsi="Arial" w:cs="Arial"/>
        </w:rPr>
        <w:t>37.</w:t>
      </w:r>
      <w:r w:rsidRPr="00C14E38">
        <w:rPr>
          <w:rFonts w:ascii="Arial" w:hAnsi="Arial" w:cs="Arial"/>
        </w:rPr>
        <w:tab/>
        <w:t xml:space="preserve">McGlashan HL, Blanchard CV, Luscombe C, et al. Quality of life and neurological disability in children and young people with ataxia telangiectasia. </w:t>
      </w:r>
      <w:r w:rsidRPr="00C14E38">
        <w:rPr>
          <w:rFonts w:ascii="Arial" w:hAnsi="Arial" w:cs="Arial"/>
          <w:i/>
          <w:iCs/>
        </w:rPr>
        <w:t>Eur J Paediatr Neurol</w:t>
      </w:r>
      <w:r w:rsidRPr="00C14E38">
        <w:rPr>
          <w:rFonts w:ascii="Arial" w:hAnsi="Arial" w:cs="Arial"/>
        </w:rPr>
        <w:t>. 2022;0(0). doi:10.1016/j.ejpn.2022.07.004</w:t>
      </w:r>
    </w:p>
    <w:p w14:paraId="323E9F1A" w14:textId="77777777" w:rsidR="00C14E38" w:rsidRPr="00C14E38" w:rsidRDefault="00C14E38" w:rsidP="00C14E38">
      <w:pPr>
        <w:pStyle w:val="Bibliography"/>
        <w:rPr>
          <w:rFonts w:ascii="Arial" w:hAnsi="Arial" w:cs="Arial"/>
        </w:rPr>
      </w:pPr>
      <w:r w:rsidRPr="00C14E38">
        <w:rPr>
          <w:rFonts w:ascii="Arial" w:hAnsi="Arial" w:cs="Arial"/>
        </w:rPr>
        <w:t>38.</w:t>
      </w:r>
      <w:r w:rsidRPr="00C14E38">
        <w:rPr>
          <w:rFonts w:ascii="Arial" w:hAnsi="Arial" w:cs="Arial"/>
        </w:rPr>
        <w:tab/>
        <w:t xml:space="preserve">Harris PA, Taylor R, Minor BL, et al. The REDCap consortium: Building an international community of software platform partners. </w:t>
      </w:r>
      <w:r w:rsidRPr="00C14E38">
        <w:rPr>
          <w:rFonts w:ascii="Arial" w:hAnsi="Arial" w:cs="Arial"/>
          <w:i/>
          <w:iCs/>
        </w:rPr>
        <w:t>J Biomed Inform</w:t>
      </w:r>
      <w:r w:rsidRPr="00C14E38">
        <w:rPr>
          <w:rFonts w:ascii="Arial" w:hAnsi="Arial" w:cs="Arial"/>
        </w:rPr>
        <w:t>. 2019;95:103208. doi:10.1016/j.jbi.2019.103208</w:t>
      </w:r>
    </w:p>
    <w:p w14:paraId="276A6FB4" w14:textId="77777777" w:rsidR="00C14E38" w:rsidRPr="00C14E38" w:rsidRDefault="00C14E38" w:rsidP="00C14E38">
      <w:pPr>
        <w:pStyle w:val="Bibliography"/>
        <w:rPr>
          <w:rFonts w:ascii="Arial" w:hAnsi="Arial" w:cs="Arial"/>
        </w:rPr>
      </w:pPr>
      <w:r w:rsidRPr="00C14E38">
        <w:rPr>
          <w:rFonts w:ascii="Arial" w:hAnsi="Arial" w:cs="Arial"/>
        </w:rPr>
        <w:t>39.</w:t>
      </w:r>
      <w:r w:rsidRPr="00C14E38">
        <w:rPr>
          <w:rFonts w:ascii="Arial" w:hAnsi="Arial" w:cs="Arial"/>
        </w:rPr>
        <w:tab/>
        <w:t>NHS England. Ataxia Telangiectasia service (Adult) - Service Specifications. Published online 2014 2013. https://www.england.nhs.uk/wp-content/uploads/2018/08/Ataxia-telangiectasia-service-adult.pdf</w:t>
      </w:r>
    </w:p>
    <w:p w14:paraId="394C1C44" w14:textId="77777777" w:rsidR="00C14E38" w:rsidRPr="00C14E38" w:rsidRDefault="00C14E38" w:rsidP="00C14E38">
      <w:pPr>
        <w:pStyle w:val="Bibliography"/>
        <w:rPr>
          <w:rFonts w:ascii="Arial" w:hAnsi="Arial" w:cs="Arial"/>
        </w:rPr>
      </w:pPr>
      <w:r w:rsidRPr="00C14E38">
        <w:rPr>
          <w:rFonts w:ascii="Arial" w:hAnsi="Arial" w:cs="Arial"/>
        </w:rPr>
        <w:lastRenderedPageBreak/>
        <w:t>40.</w:t>
      </w:r>
      <w:r w:rsidRPr="00C14E38">
        <w:rPr>
          <w:rFonts w:ascii="Arial" w:hAnsi="Arial" w:cs="Arial"/>
        </w:rPr>
        <w:tab/>
        <w:t xml:space="preserve">Crawford TO, Skolasky RL, Fernandez R, Rosquist KJ, Lederman HM. Survival probability in ataxia telangiectasia. </w:t>
      </w:r>
      <w:r w:rsidRPr="00C14E38">
        <w:rPr>
          <w:rFonts w:ascii="Arial" w:hAnsi="Arial" w:cs="Arial"/>
          <w:i/>
          <w:iCs/>
        </w:rPr>
        <w:t>Arch Dis Child</w:t>
      </w:r>
      <w:r w:rsidRPr="00C14E38">
        <w:rPr>
          <w:rFonts w:ascii="Arial" w:hAnsi="Arial" w:cs="Arial"/>
        </w:rPr>
        <w:t>. 2006;91(7):610-611. doi:10.1136/adc.2006.094268</w:t>
      </w:r>
    </w:p>
    <w:p w14:paraId="37E5284E" w14:textId="77777777" w:rsidR="00C14E38" w:rsidRPr="00C14E38" w:rsidRDefault="00C14E38" w:rsidP="00C14E38">
      <w:pPr>
        <w:pStyle w:val="Bibliography"/>
        <w:rPr>
          <w:rFonts w:ascii="Arial" w:hAnsi="Arial" w:cs="Arial"/>
        </w:rPr>
      </w:pPr>
      <w:r w:rsidRPr="00C14E38">
        <w:rPr>
          <w:rFonts w:ascii="Arial" w:hAnsi="Arial" w:cs="Arial"/>
        </w:rPr>
        <w:t>41.</w:t>
      </w:r>
      <w:r w:rsidRPr="00C14E38">
        <w:rPr>
          <w:rFonts w:ascii="Arial" w:hAnsi="Arial" w:cs="Arial"/>
        </w:rPr>
        <w:tab/>
        <w:t xml:space="preserve">van Os NJH, Jansen AFM, van Deuren M, et al. Ataxia-telangiectasia: Immunodeficiency and survival. </w:t>
      </w:r>
      <w:r w:rsidRPr="00C14E38">
        <w:rPr>
          <w:rFonts w:ascii="Arial" w:hAnsi="Arial" w:cs="Arial"/>
          <w:i/>
          <w:iCs/>
        </w:rPr>
        <w:t>Clin Immunol Orlando Fla</w:t>
      </w:r>
      <w:r w:rsidRPr="00C14E38">
        <w:rPr>
          <w:rFonts w:ascii="Arial" w:hAnsi="Arial" w:cs="Arial"/>
        </w:rPr>
        <w:t>. 2017;178:45-55. doi:10.1016/j.clim.2017.01.009</w:t>
      </w:r>
    </w:p>
    <w:p w14:paraId="6D481CBD" w14:textId="77777777" w:rsidR="00C14E38" w:rsidRPr="00C14E38" w:rsidRDefault="00C14E38" w:rsidP="00C14E38">
      <w:pPr>
        <w:pStyle w:val="Bibliography"/>
        <w:rPr>
          <w:rFonts w:ascii="Arial" w:hAnsi="Arial" w:cs="Arial"/>
        </w:rPr>
      </w:pPr>
      <w:r w:rsidRPr="00C14E38">
        <w:rPr>
          <w:rFonts w:ascii="Arial" w:hAnsi="Arial" w:cs="Arial"/>
        </w:rPr>
        <w:t>42.</w:t>
      </w:r>
      <w:r w:rsidRPr="00C14E38">
        <w:rPr>
          <w:rFonts w:ascii="Arial" w:hAnsi="Arial" w:cs="Arial"/>
        </w:rPr>
        <w:tab/>
        <w:t>Promoting Cancer Early Diagnosis. Accessed February 18, 2022. https://www.who.int/activities/improving-treatment-for-snakebite-patients</w:t>
      </w:r>
    </w:p>
    <w:p w14:paraId="0FD735EC" w14:textId="2EEACAF2" w:rsidR="005E4160" w:rsidRDefault="00C14E38" w:rsidP="00C14E38">
      <w:r w:rsidRPr="00F970CD">
        <w:rPr>
          <w:rFonts w:ascii="Arial" w:eastAsia="Times New Roman" w:hAnsi="Arial" w:cs="Arial"/>
          <w:iCs/>
          <w:kern w:val="0"/>
          <w14:ligatures w14:val="none"/>
        </w:rPr>
        <w:fldChar w:fldCharType="end"/>
      </w:r>
    </w:p>
    <w:sectPr w:rsidR="005E416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C5FBE9" w14:textId="77777777" w:rsidR="00735B00" w:rsidRDefault="00735B00" w:rsidP="00C22C40">
      <w:pPr>
        <w:spacing w:after="0" w:line="240" w:lineRule="auto"/>
      </w:pPr>
      <w:r>
        <w:separator/>
      </w:r>
    </w:p>
  </w:endnote>
  <w:endnote w:type="continuationSeparator" w:id="0">
    <w:p w14:paraId="02D6BC44" w14:textId="77777777" w:rsidR="00735B00" w:rsidRDefault="00735B00" w:rsidP="00C22C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D45014" w14:textId="77777777" w:rsidR="00735B00" w:rsidRDefault="00735B00" w:rsidP="00C22C40">
      <w:pPr>
        <w:spacing w:after="0" w:line="240" w:lineRule="auto"/>
      </w:pPr>
      <w:r>
        <w:separator/>
      </w:r>
    </w:p>
  </w:footnote>
  <w:footnote w:type="continuationSeparator" w:id="0">
    <w:p w14:paraId="692A0731" w14:textId="77777777" w:rsidR="00735B00" w:rsidRDefault="00735B00" w:rsidP="00C22C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C83AE7"/>
    <w:multiLevelType w:val="hybridMultilevel"/>
    <w:tmpl w:val="32008A30"/>
    <w:lvl w:ilvl="0" w:tplc="B63A3F2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6451BD"/>
    <w:multiLevelType w:val="hybridMultilevel"/>
    <w:tmpl w:val="B96AD13A"/>
    <w:lvl w:ilvl="0" w:tplc="D7A8BFDA">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557AD9"/>
    <w:multiLevelType w:val="multilevel"/>
    <w:tmpl w:val="548E4A1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AF11C6B"/>
    <w:multiLevelType w:val="hybridMultilevel"/>
    <w:tmpl w:val="E8FE0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2233E0"/>
    <w:multiLevelType w:val="multilevel"/>
    <w:tmpl w:val="9DA8B7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533C743B"/>
    <w:multiLevelType w:val="hybridMultilevel"/>
    <w:tmpl w:val="86D0525E"/>
    <w:lvl w:ilvl="0" w:tplc="D7A8BFDA">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2E056BD"/>
    <w:multiLevelType w:val="hybridMultilevel"/>
    <w:tmpl w:val="0EA67D7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7B651C52"/>
    <w:multiLevelType w:val="hybridMultilevel"/>
    <w:tmpl w:val="7584B704"/>
    <w:lvl w:ilvl="0" w:tplc="08090001">
      <w:start w:val="1"/>
      <w:numFmt w:val="bullet"/>
      <w:lvlText w:val=""/>
      <w:lvlJc w:val="left"/>
      <w:pPr>
        <w:ind w:left="720" w:hanging="360"/>
      </w:pPr>
      <w:rPr>
        <w:rFonts w:ascii="Symbol" w:hAnsi="Symbol" w:hint="default"/>
      </w:rPr>
    </w:lvl>
    <w:lvl w:ilvl="1" w:tplc="D7A8BFDA">
      <w:start w:val="1"/>
      <w:numFmt w:val="bullet"/>
      <w:lvlText w:val=""/>
      <w:lvlJc w:val="left"/>
      <w:pPr>
        <w:ind w:left="720" w:hanging="360"/>
      </w:pPr>
      <w:rPr>
        <w:rFonts w:ascii="Symbol" w:hAnsi="Symbol" w:hint="default"/>
        <w:color w:val="000000" w:themeColor="text1"/>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41828463">
    <w:abstractNumId w:val="1"/>
  </w:num>
  <w:num w:numId="2" w16cid:durableId="483164123">
    <w:abstractNumId w:val="7"/>
  </w:num>
  <w:num w:numId="3" w16cid:durableId="309941552">
    <w:abstractNumId w:val="6"/>
  </w:num>
  <w:num w:numId="4" w16cid:durableId="1649675732">
    <w:abstractNumId w:val="4"/>
  </w:num>
  <w:num w:numId="5" w16cid:durableId="1155144341">
    <w:abstractNumId w:val="5"/>
  </w:num>
  <w:num w:numId="6" w16cid:durableId="354427584">
    <w:abstractNumId w:val="2"/>
  </w:num>
  <w:num w:numId="7" w16cid:durableId="1148522730">
    <w:abstractNumId w:val="3"/>
  </w:num>
  <w:num w:numId="8" w16cid:durableId="21109280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4E38"/>
    <w:rsid w:val="000009D0"/>
    <w:rsid w:val="00033B06"/>
    <w:rsid w:val="000A5544"/>
    <w:rsid w:val="000C5CC2"/>
    <w:rsid w:val="000D0091"/>
    <w:rsid w:val="001D5C6F"/>
    <w:rsid w:val="00221198"/>
    <w:rsid w:val="002470D2"/>
    <w:rsid w:val="00286159"/>
    <w:rsid w:val="002C5683"/>
    <w:rsid w:val="00372167"/>
    <w:rsid w:val="003A5323"/>
    <w:rsid w:val="003A6CD2"/>
    <w:rsid w:val="00421117"/>
    <w:rsid w:val="004459AD"/>
    <w:rsid w:val="00462F9E"/>
    <w:rsid w:val="004C5BD4"/>
    <w:rsid w:val="004E0796"/>
    <w:rsid w:val="004F6CAC"/>
    <w:rsid w:val="00507618"/>
    <w:rsid w:val="00562DF3"/>
    <w:rsid w:val="00572855"/>
    <w:rsid w:val="00594E10"/>
    <w:rsid w:val="005E4160"/>
    <w:rsid w:val="00611B9F"/>
    <w:rsid w:val="00647533"/>
    <w:rsid w:val="00690000"/>
    <w:rsid w:val="006C7750"/>
    <w:rsid w:val="006F1852"/>
    <w:rsid w:val="007309EF"/>
    <w:rsid w:val="00735B00"/>
    <w:rsid w:val="00785673"/>
    <w:rsid w:val="007958B3"/>
    <w:rsid w:val="0086296F"/>
    <w:rsid w:val="00885D5B"/>
    <w:rsid w:val="00893C3E"/>
    <w:rsid w:val="008A0AE9"/>
    <w:rsid w:val="008D2C06"/>
    <w:rsid w:val="008E6604"/>
    <w:rsid w:val="008F66A7"/>
    <w:rsid w:val="009141C7"/>
    <w:rsid w:val="00935CD9"/>
    <w:rsid w:val="00965C9B"/>
    <w:rsid w:val="00976253"/>
    <w:rsid w:val="00983D41"/>
    <w:rsid w:val="009C21CB"/>
    <w:rsid w:val="009D5CCE"/>
    <w:rsid w:val="00A075E5"/>
    <w:rsid w:val="00A32ED3"/>
    <w:rsid w:val="00A973A4"/>
    <w:rsid w:val="00B61B50"/>
    <w:rsid w:val="00B65D72"/>
    <w:rsid w:val="00B70744"/>
    <w:rsid w:val="00B9361F"/>
    <w:rsid w:val="00C03471"/>
    <w:rsid w:val="00C14E38"/>
    <w:rsid w:val="00C22C40"/>
    <w:rsid w:val="00C70CB8"/>
    <w:rsid w:val="00C94FA9"/>
    <w:rsid w:val="00CA4996"/>
    <w:rsid w:val="00CF7009"/>
    <w:rsid w:val="00D0515A"/>
    <w:rsid w:val="00D15E2B"/>
    <w:rsid w:val="00DA15BD"/>
    <w:rsid w:val="00DC0A55"/>
    <w:rsid w:val="00E3103D"/>
    <w:rsid w:val="00E52AEC"/>
    <w:rsid w:val="00E770E7"/>
    <w:rsid w:val="00EB1F29"/>
    <w:rsid w:val="00EC680A"/>
    <w:rsid w:val="00EE5860"/>
    <w:rsid w:val="00F01990"/>
    <w:rsid w:val="00F46D64"/>
    <w:rsid w:val="00FB2A0F"/>
    <w:rsid w:val="00FE02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25A24"/>
  <w15:chartTrackingRefBased/>
  <w15:docId w15:val="{B40A7A8C-12D6-4DF9-9861-DA09CD13E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4E3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C14E38"/>
    <w:rPr>
      <w:sz w:val="16"/>
      <w:szCs w:val="16"/>
    </w:rPr>
  </w:style>
  <w:style w:type="paragraph" w:styleId="CommentText">
    <w:name w:val="annotation text"/>
    <w:basedOn w:val="Normal"/>
    <w:link w:val="CommentTextChar"/>
    <w:uiPriority w:val="99"/>
    <w:unhideWhenUsed/>
    <w:rsid w:val="00C14E38"/>
    <w:pPr>
      <w:spacing w:after="0" w:line="240" w:lineRule="auto"/>
    </w:pPr>
    <w:rPr>
      <w:rFonts w:ascii="Times New Roman" w:eastAsia="Times New Roman" w:hAnsi="Times New Roman" w:cs="Arial Unicode MS"/>
      <w:kern w:val="0"/>
      <w:sz w:val="20"/>
      <w:szCs w:val="20"/>
      <w14:ligatures w14:val="none"/>
    </w:rPr>
  </w:style>
  <w:style w:type="character" w:customStyle="1" w:styleId="CommentTextChar">
    <w:name w:val="Comment Text Char"/>
    <w:basedOn w:val="DefaultParagraphFont"/>
    <w:link w:val="CommentText"/>
    <w:uiPriority w:val="99"/>
    <w:rsid w:val="00C14E38"/>
    <w:rPr>
      <w:rFonts w:ascii="Times New Roman" w:eastAsia="Times New Roman" w:hAnsi="Times New Roman" w:cs="Arial Unicode MS"/>
      <w:kern w:val="0"/>
      <w:sz w:val="20"/>
      <w:szCs w:val="20"/>
      <w14:ligatures w14:val="none"/>
    </w:rPr>
  </w:style>
  <w:style w:type="paragraph" w:styleId="Bibliography">
    <w:name w:val="Bibliography"/>
    <w:basedOn w:val="Normal"/>
    <w:next w:val="Normal"/>
    <w:uiPriority w:val="37"/>
    <w:unhideWhenUsed/>
    <w:rsid w:val="00C14E38"/>
    <w:pPr>
      <w:tabs>
        <w:tab w:val="left" w:pos="384"/>
      </w:tabs>
      <w:spacing w:after="240" w:line="240" w:lineRule="auto"/>
      <w:ind w:left="384" w:hanging="384"/>
    </w:pPr>
  </w:style>
  <w:style w:type="paragraph" w:styleId="CommentSubject">
    <w:name w:val="annotation subject"/>
    <w:basedOn w:val="CommentText"/>
    <w:next w:val="CommentText"/>
    <w:link w:val="CommentSubjectChar"/>
    <w:uiPriority w:val="99"/>
    <w:semiHidden/>
    <w:unhideWhenUsed/>
    <w:rsid w:val="003A6CD2"/>
    <w:pPr>
      <w:spacing w:after="160"/>
    </w:pPr>
    <w:rPr>
      <w:rFonts w:asciiTheme="minorHAnsi" w:eastAsiaTheme="minorHAnsi" w:hAnsiTheme="minorHAnsi" w:cstheme="minorBidi"/>
      <w:b/>
      <w:bCs/>
      <w:kern w:val="2"/>
      <w14:ligatures w14:val="standardContextual"/>
    </w:rPr>
  </w:style>
  <w:style w:type="character" w:customStyle="1" w:styleId="CommentSubjectChar">
    <w:name w:val="Comment Subject Char"/>
    <w:basedOn w:val="CommentTextChar"/>
    <w:link w:val="CommentSubject"/>
    <w:uiPriority w:val="99"/>
    <w:semiHidden/>
    <w:rsid w:val="003A6CD2"/>
    <w:rPr>
      <w:rFonts w:ascii="Times New Roman" w:eastAsia="Times New Roman" w:hAnsi="Times New Roman" w:cs="Arial Unicode MS"/>
      <w:b/>
      <w:bCs/>
      <w:kern w:val="0"/>
      <w:sz w:val="20"/>
      <w:szCs w:val="20"/>
      <w14:ligatures w14:val="none"/>
    </w:rPr>
  </w:style>
  <w:style w:type="paragraph" w:styleId="BalloonText">
    <w:name w:val="Balloon Text"/>
    <w:basedOn w:val="Normal"/>
    <w:link w:val="BalloonTextChar"/>
    <w:uiPriority w:val="99"/>
    <w:semiHidden/>
    <w:unhideWhenUsed/>
    <w:rsid w:val="003A6CD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6CD2"/>
    <w:rPr>
      <w:rFonts w:ascii="Segoe UI" w:hAnsi="Segoe UI" w:cs="Segoe UI"/>
      <w:sz w:val="18"/>
      <w:szCs w:val="18"/>
    </w:rPr>
  </w:style>
  <w:style w:type="paragraph" w:styleId="ListParagraph">
    <w:name w:val="List Paragraph"/>
    <w:basedOn w:val="Normal"/>
    <w:uiPriority w:val="34"/>
    <w:qFormat/>
    <w:rsid w:val="00935CD9"/>
    <w:pPr>
      <w:ind w:left="720"/>
      <w:contextualSpacing/>
    </w:pPr>
  </w:style>
  <w:style w:type="character" w:styleId="Hyperlink">
    <w:name w:val="Hyperlink"/>
    <w:basedOn w:val="DefaultParagraphFont"/>
    <w:uiPriority w:val="99"/>
    <w:unhideWhenUsed/>
    <w:rsid w:val="00F46D64"/>
    <w:rPr>
      <w:color w:val="0563C1" w:themeColor="hyperlink"/>
      <w:u w:val="single"/>
    </w:rPr>
  </w:style>
  <w:style w:type="paragraph" w:styleId="Header">
    <w:name w:val="header"/>
    <w:basedOn w:val="Normal"/>
    <w:link w:val="HeaderChar"/>
    <w:uiPriority w:val="99"/>
    <w:unhideWhenUsed/>
    <w:rsid w:val="00C22C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2C40"/>
  </w:style>
  <w:style w:type="paragraph" w:styleId="Footer">
    <w:name w:val="footer"/>
    <w:basedOn w:val="Normal"/>
    <w:link w:val="FooterChar"/>
    <w:uiPriority w:val="99"/>
    <w:unhideWhenUsed/>
    <w:rsid w:val="00C22C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2C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799261">
      <w:bodyDiv w:val="1"/>
      <w:marLeft w:val="0"/>
      <w:marRight w:val="0"/>
      <w:marTop w:val="0"/>
      <w:marBottom w:val="0"/>
      <w:divBdr>
        <w:top w:val="none" w:sz="0" w:space="0" w:color="auto"/>
        <w:left w:val="none" w:sz="0" w:space="0" w:color="auto"/>
        <w:bottom w:val="none" w:sz="0" w:space="0" w:color="auto"/>
        <w:right w:val="none" w:sz="0" w:space="0" w:color="auto"/>
      </w:divBdr>
      <w:divsChild>
        <w:div w:id="767389651">
          <w:marLeft w:val="0"/>
          <w:marRight w:val="0"/>
          <w:marTop w:val="0"/>
          <w:marBottom w:val="0"/>
          <w:divBdr>
            <w:top w:val="none" w:sz="0" w:space="0" w:color="auto"/>
            <w:left w:val="none" w:sz="0" w:space="0" w:color="auto"/>
            <w:bottom w:val="none" w:sz="0" w:space="0" w:color="auto"/>
            <w:right w:val="none" w:sz="0" w:space="0" w:color="auto"/>
          </w:divBdr>
        </w:div>
        <w:div w:id="656152534">
          <w:marLeft w:val="0"/>
          <w:marRight w:val="0"/>
          <w:marTop w:val="0"/>
          <w:marBottom w:val="0"/>
          <w:divBdr>
            <w:top w:val="none" w:sz="0" w:space="0" w:color="auto"/>
            <w:left w:val="none" w:sz="0" w:space="0" w:color="auto"/>
            <w:bottom w:val="none" w:sz="0" w:space="0" w:color="auto"/>
            <w:right w:val="none" w:sz="0" w:space="0" w:color="auto"/>
          </w:divBdr>
        </w:div>
        <w:div w:id="2012877726">
          <w:marLeft w:val="0"/>
          <w:marRight w:val="0"/>
          <w:marTop w:val="0"/>
          <w:marBottom w:val="0"/>
          <w:divBdr>
            <w:top w:val="none" w:sz="0" w:space="0" w:color="auto"/>
            <w:left w:val="none" w:sz="0" w:space="0" w:color="auto"/>
            <w:bottom w:val="none" w:sz="0" w:space="0" w:color="auto"/>
            <w:right w:val="none" w:sz="0" w:space="0" w:color="auto"/>
          </w:divBdr>
        </w:div>
        <w:div w:id="5450657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ob.dineen@nottingham.ac.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tif"/><Relationship Id="rId4" Type="http://schemas.openxmlformats.org/officeDocument/2006/relationships/settings" Target="settings.xml"/><Relationship Id="rId9" Type="http://schemas.openxmlformats.org/officeDocument/2006/relationships/hyperlink" Target="https://www.clinicaltrials.gov/study/NCT052528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E231B0-8570-4A38-9146-C74C73679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21</Pages>
  <Words>29168</Words>
  <Characters>166260</Characters>
  <Application>Microsoft Office Word</Application>
  <DocSecurity>0</DocSecurity>
  <Lines>1385</Lines>
  <Paragraphs>390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Neves</dc:creator>
  <cp:keywords/>
  <dc:description/>
  <cp:lastModifiedBy>Renata Neves</cp:lastModifiedBy>
  <cp:revision>11</cp:revision>
  <dcterms:created xsi:type="dcterms:W3CDTF">2023-08-09T06:20:00Z</dcterms:created>
  <dcterms:modified xsi:type="dcterms:W3CDTF">2023-09-15T16:27:00Z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980dc066-5b80-4a83-9832-0e2c1d0aa5de</vt:lpwstr>
  </property>
  <property fmtid="{D5CDD505-2E9C-101B-9397-08002B2CF9AE}" pid="3" name="ZOTERO_PREF_1">
    <vt:lpwstr>&lt;data data-version="3" zotero-version="6.0.26"&gt;&lt;session id="hxBalhlu"/&gt;&lt;style id="http://www.zotero.org/styles/american-medical-association" hasBibliography="1" bibliographyStyleHasBeenSet="1"/&gt;&lt;prefs&gt;&lt;pref name="fieldType" value="Field"/&gt;&lt;pref name="auto</vt:lpwstr>
  </property>
  <property fmtid="{D5CDD505-2E9C-101B-9397-08002B2CF9AE}" pid="4" name="ZOTERO_PREF_2">
    <vt:lpwstr>maticJournalAbbreviations" value="true"/&gt;&lt;/prefs&gt;&lt;/data&gt;</vt:lpwstr>
  </property>
</Properties>
</file>